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145"/>
        <w:rPr>
          <w:rFonts w:ascii="宋体" w:hAnsi="宋体"/>
          <w:bCs/>
          <w:sz w:val="44"/>
        </w:rPr>
      </w:pPr>
    </w:p>
    <w:p>
      <w:pPr>
        <w:pStyle w:val="10"/>
        <w:rPr>
          <w:rFonts w:ascii="宋体" w:hAnsi="宋体"/>
          <w:b w:val="0"/>
          <w:sz w:val="44"/>
        </w:rPr>
      </w:pPr>
      <w:r>
        <w:rPr>
          <w:rFonts w:hint="eastAsia" w:ascii="宋体" w:hAnsi="宋体"/>
          <w:b w:val="0"/>
          <w:sz w:val="52"/>
        </w:rPr>
        <w:t>电力设备预防性试验合同</w:t>
      </w:r>
    </w:p>
    <w:p>
      <w:pPr>
        <w:snapToGrid w:val="0"/>
        <w:spacing w:line="288" w:lineRule="auto"/>
        <w:rPr>
          <w:rFonts w:ascii="宋体" w:hAnsi="宋体"/>
          <w:bCs/>
          <w:sz w:val="36"/>
        </w:rPr>
      </w:pPr>
    </w:p>
    <w:p>
      <w:pPr>
        <w:snapToGrid w:val="0"/>
        <w:spacing w:line="288" w:lineRule="auto"/>
        <w:rPr>
          <w:rFonts w:ascii="宋体" w:hAnsi="宋体"/>
          <w:bCs/>
          <w:sz w:val="36"/>
        </w:rPr>
      </w:pPr>
    </w:p>
    <w:p>
      <w:pPr>
        <w:snapToGrid w:val="0"/>
        <w:spacing w:line="288" w:lineRule="auto"/>
        <w:rPr>
          <w:rFonts w:ascii="宋体" w:hAnsi="宋体"/>
          <w:bCs/>
          <w:sz w:val="36"/>
        </w:rPr>
      </w:pPr>
    </w:p>
    <w:p>
      <w:pPr>
        <w:snapToGrid w:val="0"/>
        <w:spacing w:line="288" w:lineRule="auto"/>
        <w:rPr>
          <w:rFonts w:ascii="宋体" w:hAnsi="宋体"/>
          <w:bCs/>
          <w:sz w:val="36"/>
        </w:rPr>
      </w:pPr>
      <w:r>
        <w:rPr>
          <w:rFonts w:hint="eastAsia" w:ascii="宋体" w:hAnsi="宋体"/>
          <w:bCs/>
          <w:sz w:val="36"/>
        </w:rPr>
        <w:t>合同编号：</w:t>
      </w:r>
    </w:p>
    <w:p>
      <w:pPr>
        <w:snapToGrid w:val="0"/>
        <w:spacing w:line="288" w:lineRule="auto"/>
        <w:rPr>
          <w:rFonts w:ascii="宋体" w:hAnsi="宋体"/>
          <w:bCs/>
          <w:sz w:val="36"/>
        </w:rPr>
      </w:pPr>
    </w:p>
    <w:p>
      <w:pPr>
        <w:snapToGrid w:val="0"/>
        <w:spacing w:line="288" w:lineRule="auto"/>
        <w:rPr>
          <w:rFonts w:ascii="宋体" w:hAnsi="宋体"/>
          <w:bCs/>
          <w:sz w:val="36"/>
        </w:rPr>
      </w:pPr>
    </w:p>
    <w:p>
      <w:pPr>
        <w:pStyle w:val="3"/>
        <w:ind w:left="1798" w:leftChars="1" w:hanging="1796" w:hangingChars="499"/>
        <w:rPr>
          <w:rFonts w:ascii="宋体" w:hAnsi="宋体" w:eastAsia="宋体"/>
          <w:bCs/>
        </w:rPr>
      </w:pPr>
      <w:r>
        <w:rPr>
          <w:rFonts w:hint="eastAsia" w:ascii="宋体" w:hAnsi="宋体" w:eastAsia="宋体"/>
          <w:bCs/>
        </w:rPr>
        <w:t>项目名称：</w:t>
      </w:r>
      <w:r>
        <w:rPr>
          <w:rFonts w:hint="eastAsia" w:ascii="宋体" w:hAnsi="宋体" w:eastAsia="宋体"/>
          <w:bCs/>
          <w:szCs w:val="36"/>
        </w:rPr>
        <w:t>明城酒店10kV配电室电力设备预防性试验项目</w:t>
      </w:r>
    </w:p>
    <w:p>
      <w:pPr>
        <w:snapToGrid w:val="0"/>
        <w:spacing w:line="288" w:lineRule="auto"/>
        <w:rPr>
          <w:rFonts w:ascii="宋体" w:hAnsi="宋体"/>
          <w:bCs/>
          <w:sz w:val="36"/>
        </w:rPr>
      </w:pPr>
    </w:p>
    <w:p>
      <w:pPr>
        <w:snapToGrid w:val="0"/>
        <w:spacing w:line="288" w:lineRule="auto"/>
        <w:rPr>
          <w:rFonts w:ascii="宋体" w:hAnsi="宋体"/>
          <w:bCs/>
          <w:sz w:val="36"/>
        </w:rPr>
      </w:pPr>
    </w:p>
    <w:p>
      <w:pPr>
        <w:snapToGrid w:val="0"/>
        <w:spacing w:line="288" w:lineRule="auto"/>
        <w:rPr>
          <w:rFonts w:ascii="宋体" w:hAnsi="宋体"/>
          <w:bCs/>
          <w:sz w:val="36"/>
        </w:rPr>
      </w:pPr>
    </w:p>
    <w:p>
      <w:pPr>
        <w:snapToGrid w:val="0"/>
        <w:spacing w:line="288" w:lineRule="auto"/>
        <w:ind w:left="567"/>
        <w:rPr>
          <w:rFonts w:ascii="宋体" w:hAnsi="宋体"/>
          <w:bCs/>
          <w:sz w:val="36"/>
        </w:rPr>
      </w:pPr>
      <w:r>
        <w:rPr>
          <w:rFonts w:hint="eastAsia" w:ascii="宋体" w:hAnsi="宋体"/>
          <w:bCs/>
          <w:sz w:val="36"/>
          <w:szCs w:val="36"/>
        </w:rPr>
        <w:t>甲 方</w:t>
      </w:r>
      <w:r>
        <w:rPr>
          <w:rFonts w:hint="eastAsia" w:ascii="宋体" w:hAnsi="宋体"/>
          <w:bCs/>
          <w:sz w:val="36"/>
        </w:rPr>
        <w:t>：三明明城酒店有限公司</w:t>
      </w:r>
    </w:p>
    <w:p>
      <w:pPr>
        <w:snapToGrid w:val="0"/>
        <w:spacing w:line="288" w:lineRule="auto"/>
        <w:rPr>
          <w:rFonts w:ascii="宋体" w:hAnsi="宋体"/>
          <w:bCs/>
          <w:sz w:val="36"/>
        </w:rPr>
      </w:pPr>
    </w:p>
    <w:p>
      <w:pPr>
        <w:snapToGrid w:val="0"/>
        <w:spacing w:line="288" w:lineRule="auto"/>
        <w:ind w:left="567"/>
        <w:rPr>
          <w:rFonts w:ascii="宋体" w:hAnsi="宋体"/>
          <w:bCs/>
          <w:sz w:val="36"/>
        </w:rPr>
      </w:pPr>
      <w:r>
        <w:rPr>
          <w:rFonts w:hint="eastAsia" w:ascii="宋体" w:hAnsi="宋体"/>
          <w:bCs/>
          <w:sz w:val="36"/>
          <w:szCs w:val="36"/>
        </w:rPr>
        <w:t>乙 方</w:t>
      </w:r>
      <w:r>
        <w:rPr>
          <w:rFonts w:hint="eastAsia" w:ascii="宋体" w:hAnsi="宋体"/>
          <w:bCs/>
          <w:sz w:val="36"/>
        </w:rPr>
        <w:t>:</w:t>
      </w:r>
    </w:p>
    <w:p>
      <w:pPr>
        <w:snapToGrid w:val="0"/>
        <w:spacing w:line="288" w:lineRule="auto"/>
        <w:rPr>
          <w:rFonts w:ascii="宋体" w:hAnsi="宋体"/>
          <w:bCs/>
          <w:sz w:val="36"/>
        </w:rPr>
      </w:pPr>
    </w:p>
    <w:p>
      <w:pPr>
        <w:snapToGrid w:val="0"/>
        <w:spacing w:line="288" w:lineRule="auto"/>
        <w:rPr>
          <w:rFonts w:ascii="宋体" w:hAnsi="宋体"/>
          <w:bCs/>
          <w:sz w:val="36"/>
        </w:rPr>
      </w:pPr>
    </w:p>
    <w:p>
      <w:pPr>
        <w:snapToGrid w:val="0"/>
        <w:spacing w:line="288" w:lineRule="auto"/>
        <w:rPr>
          <w:rFonts w:ascii="宋体" w:hAnsi="宋体"/>
          <w:bCs/>
          <w:sz w:val="36"/>
        </w:rPr>
      </w:pPr>
    </w:p>
    <w:p>
      <w:pPr>
        <w:snapToGrid w:val="0"/>
        <w:spacing w:line="288" w:lineRule="auto"/>
        <w:jc w:val="center"/>
        <w:rPr>
          <w:rFonts w:ascii="宋体" w:hAnsi="宋体"/>
          <w:bCs/>
          <w:sz w:val="36"/>
        </w:rPr>
      </w:pPr>
      <w:r>
        <w:rPr>
          <w:rFonts w:hint="eastAsia" w:ascii="宋体" w:hAnsi="宋体"/>
          <w:bCs/>
          <w:sz w:val="36"/>
        </w:rPr>
        <w:t>2</w:t>
      </w:r>
      <w:r>
        <w:rPr>
          <w:rFonts w:ascii="宋体" w:hAnsi="宋体"/>
          <w:bCs/>
          <w:sz w:val="36"/>
        </w:rPr>
        <w:t>022</w:t>
      </w:r>
      <w:r>
        <w:rPr>
          <w:rFonts w:hint="eastAsia" w:ascii="宋体" w:hAnsi="宋体"/>
          <w:bCs/>
          <w:sz w:val="36"/>
        </w:rPr>
        <w:t>年</w:t>
      </w:r>
      <w:r>
        <w:rPr>
          <w:rFonts w:hint="eastAsia" w:ascii="宋体" w:hAnsi="宋体"/>
          <w:bCs/>
          <w:sz w:val="36"/>
          <w:lang w:val="en-US" w:eastAsia="zh-CN"/>
        </w:rPr>
        <w:t>10</w:t>
      </w:r>
      <w:r>
        <w:rPr>
          <w:rFonts w:hint="eastAsia" w:ascii="宋体" w:hAnsi="宋体"/>
          <w:bCs/>
          <w:sz w:val="36"/>
        </w:rPr>
        <w:t>月</w:t>
      </w:r>
    </w:p>
    <w:p>
      <w:pPr>
        <w:rPr>
          <w:rFonts w:ascii="宋体" w:hAnsi="宋体"/>
          <w:bCs/>
          <w:sz w:val="28"/>
          <w:szCs w:val="28"/>
        </w:rPr>
      </w:pPr>
      <w:r>
        <w:rPr>
          <w:rFonts w:hint="eastAsia" w:ascii="宋体" w:hAnsi="宋体"/>
          <w:bCs/>
          <w:sz w:val="24"/>
        </w:rPr>
        <w:br w:type="page"/>
      </w:r>
      <w:r>
        <w:rPr>
          <w:rFonts w:hint="eastAsia" w:ascii="宋体" w:hAnsi="宋体"/>
          <w:bCs/>
          <w:sz w:val="28"/>
          <w:szCs w:val="28"/>
        </w:rPr>
        <w:t>甲方：三明明城酒店有限公司</w:t>
      </w:r>
    </w:p>
    <w:p>
      <w:pPr>
        <w:spacing w:line="360" w:lineRule="auto"/>
        <w:rPr>
          <w:rFonts w:ascii="宋体" w:hAnsi="宋体"/>
          <w:bCs/>
          <w:sz w:val="28"/>
          <w:szCs w:val="28"/>
          <w:u w:val="single"/>
        </w:rPr>
      </w:pPr>
      <w:r>
        <w:rPr>
          <w:rFonts w:hint="eastAsia" w:ascii="宋体" w:hAnsi="宋体"/>
          <w:bCs/>
          <w:sz w:val="28"/>
          <w:szCs w:val="28"/>
        </w:rPr>
        <w:t>乙方：XXXX公司</w:t>
      </w:r>
    </w:p>
    <w:p>
      <w:pPr>
        <w:ind w:firstLine="560" w:firstLineChars="200"/>
        <w:rPr>
          <w:rFonts w:ascii="宋体" w:hAnsi="宋体"/>
          <w:bCs/>
          <w:sz w:val="28"/>
          <w:szCs w:val="28"/>
        </w:rPr>
      </w:pPr>
      <w:r>
        <w:rPr>
          <w:rFonts w:hint="eastAsia" w:ascii="宋体" w:hAnsi="宋体"/>
          <w:bCs/>
          <w:sz w:val="28"/>
          <w:szCs w:val="28"/>
        </w:rPr>
        <w:t>依照《中华人民共和国</w:t>
      </w:r>
      <w:r>
        <w:rPr>
          <w:rFonts w:hint="eastAsia" w:ascii="宋体" w:hAnsi="宋体"/>
          <w:bCs/>
          <w:color w:val="000000" w:themeColor="text1"/>
          <w:sz w:val="28"/>
          <w:szCs w:val="28"/>
        </w:rPr>
        <w:t>民法典合同编</w:t>
      </w:r>
      <w:r>
        <w:rPr>
          <w:rFonts w:hint="eastAsia" w:ascii="宋体" w:hAnsi="宋体"/>
          <w:bCs/>
          <w:sz w:val="28"/>
          <w:szCs w:val="28"/>
        </w:rPr>
        <w:t>》及其他有关法律、行政法规，遵循平等、自愿、公平和诚实的原则，甲、乙双方就乙方承包明城酒店（丹蓉店、新都汇店、台江店）配电室电气设备预防性试验，达成如下协议：</w:t>
      </w:r>
    </w:p>
    <w:p>
      <w:pPr>
        <w:ind w:firstLine="548" w:firstLineChars="196"/>
        <w:rPr>
          <w:rFonts w:ascii="宋体" w:hAnsi="宋体"/>
          <w:bCs/>
          <w:sz w:val="28"/>
          <w:szCs w:val="28"/>
        </w:rPr>
      </w:pPr>
      <w:r>
        <w:rPr>
          <w:rFonts w:hint="eastAsia" w:ascii="宋体" w:hAnsi="宋体"/>
          <w:bCs/>
          <w:sz w:val="28"/>
          <w:szCs w:val="28"/>
        </w:rPr>
        <w:t>第一条 合同内容</w:t>
      </w:r>
    </w:p>
    <w:p>
      <w:pPr>
        <w:spacing w:line="360" w:lineRule="auto"/>
        <w:ind w:firstLine="490" w:firstLineChars="175"/>
        <w:rPr>
          <w:rFonts w:ascii="宋体" w:hAnsi="宋体"/>
          <w:bCs/>
          <w:sz w:val="28"/>
          <w:szCs w:val="28"/>
        </w:rPr>
      </w:pPr>
      <w:r>
        <w:rPr>
          <w:rFonts w:hint="eastAsia" w:ascii="宋体" w:hAnsi="宋体"/>
          <w:bCs/>
          <w:sz w:val="28"/>
          <w:szCs w:val="28"/>
        </w:rPr>
        <w:t>1、工程名称：明城酒店</w:t>
      </w:r>
      <w:r>
        <w:rPr>
          <w:rFonts w:hint="eastAsia" w:ascii="宋体" w:hAnsi="宋体"/>
          <w:bCs/>
          <w:color w:val="000000" w:themeColor="text1"/>
          <w:sz w:val="28"/>
          <w:szCs w:val="28"/>
        </w:rPr>
        <w:t>（丹蓉店、新都汇店、台江店）10kV</w:t>
      </w:r>
      <w:r>
        <w:rPr>
          <w:rFonts w:hint="eastAsia" w:ascii="宋体" w:hAnsi="宋体"/>
          <w:bCs/>
          <w:sz w:val="28"/>
          <w:szCs w:val="28"/>
        </w:rPr>
        <w:t>配电室电力设备预防性试验</w:t>
      </w:r>
    </w:p>
    <w:p>
      <w:pPr>
        <w:spacing w:line="360" w:lineRule="auto"/>
        <w:ind w:left="559" w:leftChars="266"/>
        <w:rPr>
          <w:rFonts w:ascii="宋体" w:hAnsi="宋体"/>
          <w:bCs/>
          <w:sz w:val="28"/>
          <w:szCs w:val="28"/>
        </w:rPr>
      </w:pPr>
      <w:r>
        <w:rPr>
          <w:rFonts w:hint="eastAsia" w:ascii="宋体" w:hAnsi="宋体"/>
          <w:bCs/>
          <w:sz w:val="28"/>
          <w:szCs w:val="28"/>
        </w:rPr>
        <w:t>2、工程内容：</w:t>
      </w:r>
    </w:p>
    <w:tbl>
      <w:tblPr>
        <w:tblStyle w:val="12"/>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3390"/>
        <w:gridCol w:w="722"/>
        <w:gridCol w:w="850"/>
        <w:gridCol w:w="3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rPr>
                <w:rFonts w:ascii="宋体" w:hAnsi="宋体"/>
                <w:b/>
                <w:szCs w:val="21"/>
              </w:rPr>
            </w:pPr>
            <w:bookmarkStart w:id="0" w:name="_Hlk101773835"/>
            <w:r>
              <w:rPr>
                <w:rFonts w:hint="eastAsia" w:ascii="宋体" w:hAnsi="宋体"/>
                <w:b/>
                <w:szCs w:val="21"/>
              </w:rPr>
              <w:t>序号</w:t>
            </w:r>
          </w:p>
        </w:tc>
        <w:tc>
          <w:tcPr>
            <w:tcW w:w="3390" w:type="dxa"/>
            <w:vAlign w:val="center"/>
          </w:tcPr>
          <w:p>
            <w:pPr>
              <w:jc w:val="center"/>
              <w:rPr>
                <w:rFonts w:hint="default" w:ascii="宋体" w:hAnsi="宋体" w:eastAsia="宋体"/>
                <w:b/>
                <w:szCs w:val="21"/>
                <w:lang w:val="en-US" w:eastAsia="zh-CN"/>
              </w:rPr>
            </w:pPr>
            <w:r>
              <w:rPr>
                <w:rFonts w:hint="eastAsia" w:ascii="宋体" w:hAnsi="宋体"/>
                <w:b/>
                <w:szCs w:val="21"/>
              </w:rPr>
              <w:t>项目名称</w:t>
            </w:r>
            <w:r>
              <w:rPr>
                <w:rFonts w:hint="eastAsia" w:ascii="宋体" w:hAnsi="宋体"/>
                <w:b/>
                <w:szCs w:val="21"/>
                <w:lang w:val="en-US" w:eastAsia="zh-CN"/>
              </w:rPr>
              <w:t>-丹蓉店</w:t>
            </w:r>
          </w:p>
        </w:tc>
        <w:tc>
          <w:tcPr>
            <w:tcW w:w="722" w:type="dxa"/>
            <w:vAlign w:val="center"/>
          </w:tcPr>
          <w:p>
            <w:pPr>
              <w:jc w:val="center"/>
              <w:rPr>
                <w:rFonts w:ascii="宋体" w:hAnsi="宋体"/>
                <w:b/>
                <w:szCs w:val="21"/>
              </w:rPr>
            </w:pPr>
            <w:r>
              <w:rPr>
                <w:rFonts w:hint="eastAsia" w:ascii="宋体" w:hAnsi="宋体"/>
                <w:b/>
                <w:szCs w:val="21"/>
              </w:rPr>
              <w:t>单位</w:t>
            </w:r>
          </w:p>
        </w:tc>
        <w:tc>
          <w:tcPr>
            <w:tcW w:w="850" w:type="dxa"/>
            <w:vAlign w:val="center"/>
          </w:tcPr>
          <w:p>
            <w:pPr>
              <w:jc w:val="center"/>
              <w:rPr>
                <w:rFonts w:ascii="宋体" w:hAnsi="宋体"/>
                <w:b/>
                <w:szCs w:val="21"/>
              </w:rPr>
            </w:pPr>
            <w:r>
              <w:rPr>
                <w:rFonts w:hint="eastAsia" w:ascii="宋体" w:hAnsi="宋体"/>
                <w:b/>
                <w:szCs w:val="21"/>
              </w:rPr>
              <w:t>数量</w:t>
            </w:r>
          </w:p>
        </w:tc>
        <w:tc>
          <w:tcPr>
            <w:tcW w:w="3828" w:type="dxa"/>
            <w:vAlign w:val="center"/>
          </w:tcPr>
          <w:p>
            <w:pPr>
              <w:jc w:val="center"/>
              <w:rPr>
                <w:rFonts w:ascii="宋体" w:hAnsi="宋体"/>
                <w:b/>
                <w:szCs w:val="21"/>
              </w:rPr>
            </w:pPr>
            <w:r>
              <w:rPr>
                <w:rFonts w:hint="eastAsia" w:ascii="宋体" w:hAnsi="宋体"/>
                <w:b/>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1</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KYND-12高压进线柜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restart"/>
            <w:vAlign w:val="center"/>
          </w:tcPr>
          <w:p>
            <w:pPr>
              <w:jc w:val="center"/>
              <w:rPr>
                <w:rFonts w:ascii="宋体" w:hAnsi="宋体"/>
                <w:bCs/>
                <w:szCs w:val="21"/>
              </w:rPr>
            </w:pPr>
            <w:r>
              <w:rPr>
                <w:rFonts w:hint="eastAsia"/>
              </w:rPr>
              <w:t>不包括电气配件更换：如 1、柜内电源指示灯、交流接触器、开关手柄、操作机构弹簧、电流表等元器件的更换或维修； 2、不包括断路器和变压器等大型元件更换。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2</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KYND-12高压母线柜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3</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KYND-12高压计量柜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4</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KYND-12高压馈线柜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5</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SCB10-1000/10变压器</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台</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6</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GGD2低压进线柜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7</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GGJ2低压补偿柜20kVar</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8</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10kV电缆</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项</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9</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直流电源柜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10</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配件更换费用</w:t>
            </w:r>
          </w:p>
        </w:tc>
        <w:tc>
          <w:tcPr>
            <w:tcW w:w="5400" w:type="dxa"/>
            <w:gridSpan w:val="3"/>
            <w:vAlign w:val="center"/>
          </w:tcPr>
          <w:p>
            <w:pPr>
              <w:jc w:val="center"/>
              <w:rPr>
                <w:rFonts w:ascii="宋体" w:hAnsi="宋体"/>
                <w:bCs/>
                <w:szCs w:val="21"/>
              </w:rPr>
            </w:pPr>
            <w:r>
              <w:rPr>
                <w:rFonts w:hint="eastAsia" w:ascii="宋体" w:hAnsi="宋体"/>
                <w:bCs/>
                <w:szCs w:val="21"/>
              </w:rPr>
              <w:t>根据现场需要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11</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配电房避雷网</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项</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Merge w:val="restart"/>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12</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绝缘用具：绝缘手套</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双</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Merge w:val="continue"/>
            <w:vAlign w:val="center"/>
          </w:tcPr>
          <w:p>
            <w:pPr>
              <w:jc w:val="center"/>
              <w:rPr>
                <w:rFonts w:ascii="宋体" w:hAnsi="宋体"/>
                <w:bCs/>
                <w:szCs w:val="21"/>
              </w:rPr>
            </w:pP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绝缘用具：绝缘靴</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双</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Merge w:val="continue"/>
            <w:vAlign w:val="center"/>
          </w:tcPr>
          <w:p>
            <w:pPr>
              <w:jc w:val="center"/>
              <w:rPr>
                <w:rFonts w:ascii="宋体" w:hAnsi="宋体"/>
                <w:bCs/>
                <w:szCs w:val="21"/>
              </w:rPr>
            </w:pP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绝缘用具：高压验电器</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支</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5" w:type="dxa"/>
            <w:gridSpan w:val="4"/>
            <w:vAlign w:val="center"/>
          </w:tcPr>
          <w:p>
            <w:pPr>
              <w:keepNext w:val="0"/>
              <w:keepLines w:val="0"/>
              <w:widowControl/>
              <w:suppressLineNumbers w:val="0"/>
              <w:jc w:val="center"/>
              <w:textAlignment w:val="center"/>
              <w:rPr>
                <w:rFonts w:ascii="宋体" w:hAnsi="宋体"/>
                <w:b/>
                <w:szCs w:val="21"/>
              </w:rPr>
            </w:pPr>
            <w:r>
              <w:rPr>
                <w:rFonts w:hint="eastAsia" w:ascii="宋体" w:hAnsi="宋体" w:eastAsia="宋体" w:cs="宋体"/>
                <w:i w:val="0"/>
                <w:iCs w:val="0"/>
                <w:color w:val="000000"/>
                <w:kern w:val="0"/>
                <w:sz w:val="22"/>
                <w:szCs w:val="22"/>
                <w:u w:val="none"/>
                <w:lang w:val="en-US" w:eastAsia="zh-CN" w:bidi="ar"/>
              </w:rPr>
              <w:t>合计</w:t>
            </w:r>
          </w:p>
        </w:tc>
        <w:tc>
          <w:tcPr>
            <w:tcW w:w="3828" w:type="dxa"/>
            <w:vAlign w:val="center"/>
          </w:tcPr>
          <w:p>
            <w:pPr>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jc w:val="center"/>
              <w:rPr>
                <w:rFonts w:ascii="宋体" w:hAnsi="宋体"/>
                <w:bCs/>
                <w:szCs w:val="21"/>
              </w:rPr>
            </w:pP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b/>
                <w:bCs/>
                <w:i w:val="0"/>
                <w:iCs w:val="0"/>
                <w:color w:val="000000"/>
                <w:kern w:val="0"/>
                <w:sz w:val="21"/>
                <w:szCs w:val="21"/>
                <w:u w:val="none"/>
                <w:lang w:val="en-US" w:eastAsia="zh-CN" w:bidi="ar"/>
              </w:rPr>
              <w:t>项目名称-新都汇店</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b/>
                <w:bCs/>
                <w:i w:val="0"/>
                <w:iCs w:val="0"/>
                <w:color w:val="000000"/>
                <w:kern w:val="0"/>
                <w:sz w:val="21"/>
                <w:szCs w:val="21"/>
                <w:u w:val="none"/>
                <w:lang w:val="en-US" w:eastAsia="zh-CN" w:bidi="ar"/>
              </w:rPr>
              <w:t>单位</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b/>
                <w:bCs/>
                <w:i w:val="0"/>
                <w:iCs w:val="0"/>
                <w:color w:val="000000"/>
                <w:kern w:val="0"/>
                <w:sz w:val="21"/>
                <w:szCs w:val="21"/>
                <w:u w:val="none"/>
                <w:lang w:val="en-US" w:eastAsia="zh-CN" w:bidi="ar"/>
              </w:rPr>
              <w:t>数量</w:t>
            </w:r>
          </w:p>
        </w:tc>
        <w:tc>
          <w:tcPr>
            <w:tcW w:w="3828" w:type="dxa"/>
            <w:vAlign w:val="center"/>
          </w:tcPr>
          <w:p>
            <w:pPr>
              <w:keepNext w:val="0"/>
              <w:keepLines w:val="0"/>
              <w:widowControl/>
              <w:suppressLineNumbers w:val="0"/>
              <w:jc w:val="center"/>
              <w:textAlignment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1</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HXGN-12高压进线柜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restart"/>
            <w:vAlign w:val="center"/>
          </w:tcPr>
          <w:p>
            <w:pPr>
              <w:jc w:val="center"/>
              <w:rPr>
                <w:rFonts w:ascii="宋体" w:hAnsi="宋体"/>
                <w:bCs/>
                <w:szCs w:val="21"/>
              </w:rPr>
            </w:pPr>
            <w:r>
              <w:rPr>
                <w:rFonts w:hint="eastAsia"/>
              </w:rPr>
              <w:t>不包括电气配件更换：如 1、柜内电源指示灯、交流接触器、开关手柄、操作机构弹簧、电流表等元器件的更换或维修； 2、不包括断路器和变压器等大型元件更换。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2</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HXGN-12高压计量柜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3</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HXGN -12高压馈线柜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4</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S11-630/10电力变压器</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台</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5</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GGD2低压进线柜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6</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GGJ2低压补偿柜20kVar</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7</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10kV电缆</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项</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8</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配件更换费用</w:t>
            </w:r>
          </w:p>
        </w:tc>
        <w:tc>
          <w:tcPr>
            <w:tcW w:w="5400" w:type="dxa"/>
            <w:gridSpan w:val="3"/>
            <w:vAlign w:val="center"/>
          </w:tcPr>
          <w:p>
            <w:pPr>
              <w:jc w:val="center"/>
              <w:rPr>
                <w:rFonts w:ascii="宋体" w:hAnsi="宋体"/>
                <w:bCs/>
                <w:szCs w:val="21"/>
              </w:rPr>
            </w:pPr>
            <w:r>
              <w:rPr>
                <w:rFonts w:hint="eastAsia" w:ascii="宋体" w:hAnsi="宋体"/>
                <w:bCs/>
                <w:szCs w:val="21"/>
              </w:rPr>
              <w:t>根据现场需要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9</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配电房避雷网</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项</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Merge w:val="restart"/>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10</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绝缘用具：绝缘手套</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双</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Merge w:val="continue"/>
            <w:vAlign w:val="center"/>
          </w:tcPr>
          <w:p>
            <w:pPr>
              <w:jc w:val="center"/>
              <w:rPr>
                <w:rFonts w:ascii="宋体" w:hAnsi="宋体"/>
                <w:bCs/>
                <w:szCs w:val="21"/>
              </w:rPr>
            </w:pP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绝缘用具：绝缘靴</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双</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Merge w:val="continue"/>
            <w:vAlign w:val="center"/>
          </w:tcPr>
          <w:p>
            <w:pPr>
              <w:jc w:val="center"/>
              <w:rPr>
                <w:rFonts w:ascii="宋体" w:hAnsi="宋体"/>
                <w:b/>
                <w:szCs w:val="21"/>
              </w:rPr>
            </w:pPr>
          </w:p>
        </w:tc>
        <w:tc>
          <w:tcPr>
            <w:tcW w:w="3390" w:type="dxa"/>
            <w:vAlign w:val="center"/>
          </w:tcPr>
          <w:p>
            <w:pPr>
              <w:keepNext w:val="0"/>
              <w:keepLines w:val="0"/>
              <w:widowControl/>
              <w:suppressLineNumbers w:val="0"/>
              <w:jc w:val="center"/>
              <w:textAlignment w:val="center"/>
              <w:rPr>
                <w:rFonts w:ascii="宋体" w:hAnsi="宋体"/>
                <w:b/>
                <w:szCs w:val="21"/>
              </w:rPr>
            </w:pPr>
            <w:r>
              <w:rPr>
                <w:rFonts w:hint="eastAsia" w:ascii="宋体" w:hAnsi="宋体" w:eastAsia="宋体" w:cs="宋体"/>
                <w:i w:val="0"/>
                <w:iCs w:val="0"/>
                <w:color w:val="000000"/>
                <w:kern w:val="0"/>
                <w:sz w:val="24"/>
                <w:szCs w:val="24"/>
                <w:u w:val="none"/>
                <w:lang w:val="en-US" w:eastAsia="zh-CN" w:bidi="ar"/>
              </w:rPr>
              <w:t>绝缘用具：高压验电器</w:t>
            </w:r>
          </w:p>
        </w:tc>
        <w:tc>
          <w:tcPr>
            <w:tcW w:w="722" w:type="dxa"/>
            <w:vAlign w:val="center"/>
          </w:tcPr>
          <w:p>
            <w:pPr>
              <w:keepNext w:val="0"/>
              <w:keepLines w:val="0"/>
              <w:widowControl/>
              <w:suppressLineNumbers w:val="0"/>
              <w:jc w:val="center"/>
              <w:textAlignment w:val="center"/>
              <w:rPr>
                <w:rFonts w:ascii="宋体" w:hAnsi="宋体"/>
                <w:b/>
                <w:szCs w:val="21"/>
              </w:rPr>
            </w:pPr>
            <w:r>
              <w:rPr>
                <w:rFonts w:hint="eastAsia" w:ascii="宋体" w:hAnsi="宋体" w:eastAsia="宋体" w:cs="宋体"/>
                <w:i w:val="0"/>
                <w:iCs w:val="0"/>
                <w:color w:val="000000"/>
                <w:kern w:val="0"/>
                <w:sz w:val="24"/>
                <w:szCs w:val="24"/>
                <w:u w:val="none"/>
                <w:lang w:val="en-US" w:eastAsia="zh-CN" w:bidi="ar"/>
              </w:rPr>
              <w:t>支</w:t>
            </w:r>
          </w:p>
        </w:tc>
        <w:tc>
          <w:tcPr>
            <w:tcW w:w="850" w:type="dxa"/>
            <w:vAlign w:val="center"/>
          </w:tcPr>
          <w:p>
            <w:pPr>
              <w:keepNext w:val="0"/>
              <w:keepLines w:val="0"/>
              <w:widowControl/>
              <w:suppressLineNumbers w:val="0"/>
              <w:jc w:val="center"/>
              <w:textAlignment w:val="center"/>
              <w:rPr>
                <w:rFonts w:ascii="宋体" w:hAnsi="宋体"/>
                <w:b/>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Align w:val="center"/>
          </w:tcPr>
          <w:p>
            <w:pPr>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5" w:type="dxa"/>
            <w:gridSpan w:val="4"/>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合计</w:t>
            </w:r>
          </w:p>
        </w:tc>
        <w:tc>
          <w:tcPr>
            <w:tcW w:w="3828" w:type="dxa"/>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jc w:val="center"/>
              <w:rPr>
                <w:rFonts w:ascii="宋体" w:hAnsi="宋体"/>
                <w:bCs/>
                <w:szCs w:val="21"/>
              </w:rPr>
            </w:pP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b/>
                <w:bCs/>
                <w:i w:val="0"/>
                <w:iCs w:val="0"/>
                <w:color w:val="000000"/>
                <w:kern w:val="0"/>
                <w:sz w:val="21"/>
                <w:szCs w:val="21"/>
                <w:u w:val="none"/>
                <w:lang w:val="en-US" w:eastAsia="zh-CN" w:bidi="ar"/>
              </w:rPr>
              <w:t>项目名称-台江店</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b/>
                <w:bCs/>
                <w:i w:val="0"/>
                <w:iCs w:val="0"/>
                <w:color w:val="000000"/>
                <w:kern w:val="0"/>
                <w:sz w:val="21"/>
                <w:szCs w:val="21"/>
                <w:u w:val="none"/>
                <w:lang w:val="en-US" w:eastAsia="zh-CN" w:bidi="ar"/>
              </w:rPr>
              <w:t>单位</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b/>
                <w:bCs/>
                <w:i w:val="0"/>
                <w:iCs w:val="0"/>
                <w:color w:val="000000"/>
                <w:kern w:val="0"/>
                <w:sz w:val="21"/>
                <w:szCs w:val="21"/>
                <w:u w:val="none"/>
                <w:lang w:val="en-US" w:eastAsia="zh-CN" w:bidi="ar"/>
              </w:rPr>
              <w:t>数量</w:t>
            </w:r>
          </w:p>
        </w:tc>
        <w:tc>
          <w:tcPr>
            <w:tcW w:w="3828" w:type="dxa"/>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1</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1"/>
                <w:szCs w:val="21"/>
                <w:u w:val="none"/>
                <w:lang w:val="en-US" w:eastAsia="zh-CN" w:bidi="ar"/>
              </w:rPr>
              <w:t>KYND-12高压进线柜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1"/>
                <w:szCs w:val="21"/>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1"/>
                <w:szCs w:val="21"/>
                <w:u w:val="none"/>
                <w:lang w:val="en-US" w:eastAsia="zh-CN" w:bidi="ar"/>
              </w:rPr>
              <w:t>2</w:t>
            </w:r>
          </w:p>
        </w:tc>
        <w:tc>
          <w:tcPr>
            <w:tcW w:w="3828" w:type="dxa"/>
            <w:vMerge w:val="restart"/>
            <w:vAlign w:val="center"/>
          </w:tcPr>
          <w:p>
            <w:pPr>
              <w:jc w:val="center"/>
              <w:rPr>
                <w:rFonts w:hint="eastAsia"/>
              </w:rPr>
            </w:pPr>
          </w:p>
          <w:p>
            <w:pPr>
              <w:jc w:val="center"/>
              <w:rPr>
                <w:rFonts w:hint="eastAsia"/>
              </w:rPr>
            </w:pPr>
          </w:p>
          <w:p>
            <w:pPr>
              <w:jc w:val="center"/>
              <w:rPr>
                <w:rFonts w:hint="eastAsia"/>
              </w:rPr>
            </w:pPr>
          </w:p>
          <w:p>
            <w:pPr>
              <w:jc w:val="center"/>
              <w:rPr>
                <w:rFonts w:ascii="宋体" w:hAnsi="宋体"/>
                <w:bCs/>
                <w:szCs w:val="21"/>
              </w:rPr>
            </w:pPr>
            <w:r>
              <w:rPr>
                <w:rFonts w:hint="eastAsia"/>
              </w:rPr>
              <w:t>不包括电气配件更换：如 1、柜内电源指示灯、交流接触器、开关手柄、操作机构弹簧、电流表等元器件的更换或维修； 2、不包括断路器和变压器等大型元件更换。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2</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KYND-12高压计量柜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2</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3</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KYND-12高压母线柜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2</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4</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KYND-12高压馈线柜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2</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5</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KYND-12高压母联柜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6</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KYND-12高压隔离柜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7</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SCB10-630/10干式变压器</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台</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2</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8</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GGD2低压进线柜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2</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9</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GGJ2低压补偿柜20kVar</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2</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10</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低压母联柜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11</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10kV电缆</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项</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12</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直流电源柜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13</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配件更换费用</w:t>
            </w:r>
          </w:p>
        </w:tc>
        <w:tc>
          <w:tcPr>
            <w:tcW w:w="5400" w:type="dxa"/>
            <w:gridSpan w:val="3"/>
            <w:vAlign w:val="center"/>
          </w:tcPr>
          <w:p>
            <w:pPr>
              <w:jc w:val="center"/>
              <w:rPr>
                <w:rFonts w:ascii="宋体" w:hAnsi="宋体"/>
                <w:bCs/>
                <w:szCs w:val="21"/>
              </w:rPr>
            </w:pPr>
            <w:r>
              <w:rPr>
                <w:rFonts w:hint="eastAsia" w:ascii="宋体" w:hAnsi="宋体"/>
                <w:bCs/>
                <w:szCs w:val="21"/>
              </w:rPr>
              <w:t>根据现场需要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14</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配电房避雷网</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项</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tcPr>
          <w:p>
            <w:pPr>
              <w:jc w:val="center"/>
              <w:rPr>
                <w:rFonts w:ascii="宋体" w:hAnsi="宋体"/>
                <w:bCs/>
                <w:szCs w:val="21"/>
              </w:rPr>
            </w:pPr>
          </w:p>
        </w:tc>
        <w:tc>
          <w:tcPr>
            <w:tcW w:w="3390" w:type="dxa"/>
          </w:tcPr>
          <w:p>
            <w:pPr>
              <w:rPr>
                <w:rFonts w:ascii="宋体" w:hAnsi="宋体"/>
                <w:bCs/>
                <w:szCs w:val="21"/>
              </w:rPr>
            </w:pPr>
          </w:p>
        </w:tc>
        <w:tc>
          <w:tcPr>
            <w:tcW w:w="722" w:type="dxa"/>
          </w:tcPr>
          <w:p>
            <w:pPr>
              <w:jc w:val="center"/>
              <w:rPr>
                <w:rFonts w:ascii="宋体" w:hAnsi="宋体"/>
                <w:bCs/>
                <w:szCs w:val="21"/>
              </w:rPr>
            </w:pPr>
          </w:p>
        </w:tc>
        <w:tc>
          <w:tcPr>
            <w:tcW w:w="850" w:type="dxa"/>
          </w:tcPr>
          <w:p>
            <w:pPr>
              <w:jc w:val="center"/>
              <w:rPr>
                <w:rFonts w:ascii="宋体" w:hAnsi="宋体"/>
                <w:bCs/>
                <w:szCs w:val="21"/>
              </w:rPr>
            </w:pPr>
          </w:p>
        </w:tc>
        <w:tc>
          <w:tcPr>
            <w:tcW w:w="3828" w:type="dxa"/>
          </w:tcPr>
          <w:p>
            <w:pPr>
              <w:rPr>
                <w:rFonts w:ascii="宋体" w:hAnsi="宋体"/>
                <w:bCs/>
                <w:szCs w:val="21"/>
              </w:rPr>
            </w:pPr>
          </w:p>
        </w:tc>
      </w:tr>
    </w:tbl>
    <w:p>
      <w:pPr>
        <w:ind w:firstLine="560" w:firstLineChars="200"/>
        <w:rPr>
          <w:rFonts w:ascii="宋体" w:hAnsi="宋体"/>
          <w:bCs/>
          <w:sz w:val="28"/>
          <w:szCs w:val="28"/>
        </w:rPr>
      </w:pPr>
    </w:p>
    <w:p>
      <w:pPr>
        <w:ind w:firstLine="560" w:firstLineChars="200"/>
        <w:rPr>
          <w:rFonts w:ascii="宋体" w:hAnsi="宋体"/>
          <w:bCs/>
          <w:sz w:val="28"/>
          <w:szCs w:val="28"/>
        </w:rPr>
      </w:pPr>
      <w:r>
        <w:rPr>
          <w:rFonts w:ascii="宋体" w:hAnsi="宋体"/>
          <w:bCs/>
          <w:sz w:val="28"/>
          <w:szCs w:val="28"/>
        </w:rPr>
        <w:object>
          <v:shape id="_x0000_i1025" o:spt="75" type="#_x0000_t75" style="height:53pt;width:76.1pt;" o:ole="t" filled="f" o:preferrelative="t" stroked="f" coordsize="21600,21600">
            <v:path/>
            <v:fill on="f" focussize="0,0"/>
            <v:stroke on="f" joinstyle="miter"/>
            <v:imagedata r:id="rId8" o:title=""/>
            <o:lock v:ext="edit" aspectratio="t"/>
            <w10:wrap type="none"/>
            <w10:anchorlock/>
          </v:shape>
          <o:OLEObject Type="Embed" ProgID="AcroExch.Document.7" ShapeID="_x0000_i1025" DrawAspect="Icon" ObjectID="_1468075725" r:id="rId7">
            <o:LockedField>false</o:LockedField>
          </o:OLEObject>
        </w:object>
      </w:r>
      <w:r>
        <w:rPr>
          <w:rFonts w:ascii="宋体" w:hAnsi="宋体"/>
          <w:bCs/>
          <w:sz w:val="28"/>
          <w:szCs w:val="28"/>
        </w:rPr>
        <w:object>
          <v:shape id="_x0000_i1026" o:spt="75" type="#_x0000_t75" style="height:53pt;width:76.1pt;" o:ole="t" filled="f" o:preferrelative="t" stroked="f" coordsize="21600,21600">
            <v:path/>
            <v:fill on="f" focussize="0,0"/>
            <v:stroke on="f" joinstyle="miter"/>
            <v:imagedata r:id="rId10" o:title=""/>
            <o:lock v:ext="edit" aspectratio="t"/>
            <w10:wrap type="none"/>
            <w10:anchorlock/>
          </v:shape>
          <o:OLEObject Type="Embed" ProgID="AcroExch.Document.7" ShapeID="_x0000_i1026" DrawAspect="Icon" ObjectID="_1468075726" r:id="rId9">
            <o:LockedField>false</o:LockedField>
          </o:OLEObject>
        </w:object>
      </w:r>
      <w:r>
        <w:rPr>
          <w:rFonts w:ascii="宋体" w:hAnsi="宋体"/>
          <w:bCs/>
          <w:sz w:val="28"/>
          <w:szCs w:val="28"/>
        </w:rPr>
        <w:object>
          <v:shape id="_x0000_i1027" o:spt="75" type="#_x0000_t75" style="height:53pt;width:76.1pt;" o:ole="t" filled="f" o:preferrelative="t" stroked="f" coordsize="21600,21600">
            <v:path/>
            <v:fill on="f" focussize="0,0"/>
            <v:stroke on="f" joinstyle="miter"/>
            <v:imagedata r:id="rId12" o:title=""/>
            <o:lock v:ext="edit" aspectratio="t"/>
            <w10:wrap type="none"/>
            <w10:anchorlock/>
          </v:shape>
          <o:OLEObject Type="Embed" ProgID="AcroExch.Document.7" ShapeID="_x0000_i1027" DrawAspect="Icon" ObjectID="_1468075727" r:id="rId11">
            <o:LockedField>false</o:LockedField>
          </o:OLEObject>
        </w:object>
      </w:r>
    </w:p>
    <w:bookmarkEnd w:id="0"/>
    <w:p>
      <w:pPr>
        <w:ind w:firstLine="560" w:firstLineChars="200"/>
        <w:rPr>
          <w:rFonts w:ascii="宋体" w:hAnsi="宋体"/>
          <w:bCs/>
          <w:sz w:val="28"/>
          <w:szCs w:val="28"/>
        </w:rPr>
      </w:pPr>
      <w:r>
        <w:rPr>
          <w:rFonts w:hint="eastAsia" w:ascii="宋体" w:hAnsi="宋体"/>
          <w:bCs/>
          <w:sz w:val="28"/>
          <w:szCs w:val="28"/>
        </w:rPr>
        <w:t>第二条 合同工期</w:t>
      </w:r>
    </w:p>
    <w:p>
      <w:pPr>
        <w:spacing w:line="360" w:lineRule="auto"/>
        <w:ind w:firstLine="490" w:firstLineChars="175"/>
        <w:rPr>
          <w:rFonts w:ascii="宋体" w:hAnsi="宋体"/>
          <w:bCs/>
          <w:color w:val="FF0000"/>
          <w:sz w:val="28"/>
          <w:szCs w:val="28"/>
        </w:rPr>
      </w:pPr>
      <w:r>
        <w:rPr>
          <w:rFonts w:hint="eastAsia" w:ascii="宋体" w:hAnsi="宋体"/>
          <w:bCs/>
          <w:color w:val="FF0000"/>
          <w:sz w:val="28"/>
          <w:szCs w:val="28"/>
        </w:rPr>
        <w:t>开工日期： 20</w:t>
      </w:r>
      <w:r>
        <w:rPr>
          <w:rFonts w:ascii="宋体" w:hAnsi="宋体"/>
          <w:bCs/>
          <w:color w:val="FF0000"/>
          <w:sz w:val="28"/>
          <w:szCs w:val="28"/>
        </w:rPr>
        <w:t>22</w:t>
      </w:r>
      <w:r>
        <w:rPr>
          <w:rFonts w:hint="eastAsia" w:ascii="宋体" w:hAnsi="宋体"/>
          <w:bCs/>
          <w:color w:val="FF0000"/>
          <w:sz w:val="28"/>
          <w:szCs w:val="28"/>
        </w:rPr>
        <w:t>年</w:t>
      </w:r>
      <w:r>
        <w:rPr>
          <w:rFonts w:hint="eastAsia" w:ascii="宋体" w:hAnsi="宋体"/>
          <w:bCs/>
          <w:color w:val="FF0000"/>
          <w:sz w:val="28"/>
          <w:szCs w:val="28"/>
          <w:lang w:val="en-US" w:eastAsia="zh-CN"/>
        </w:rPr>
        <w:t>10</w:t>
      </w:r>
      <w:r>
        <w:rPr>
          <w:rFonts w:hint="eastAsia" w:ascii="宋体" w:hAnsi="宋体"/>
          <w:bCs/>
          <w:color w:val="FF0000"/>
          <w:sz w:val="28"/>
          <w:szCs w:val="28"/>
        </w:rPr>
        <w:t>月</w:t>
      </w:r>
      <w:r>
        <w:rPr>
          <w:rFonts w:hint="eastAsia" w:ascii="宋体" w:hAnsi="宋体"/>
          <w:bCs/>
          <w:color w:val="FF0000"/>
          <w:sz w:val="28"/>
          <w:szCs w:val="28"/>
          <w:lang w:val="en-US" w:eastAsia="zh-CN"/>
        </w:rPr>
        <w:t xml:space="preserve"> 15 </w:t>
      </w:r>
      <w:r>
        <w:rPr>
          <w:rFonts w:hint="eastAsia" w:ascii="宋体" w:hAnsi="宋体"/>
          <w:bCs/>
          <w:color w:val="FF0000"/>
          <w:sz w:val="28"/>
          <w:szCs w:val="28"/>
        </w:rPr>
        <w:t>日</w:t>
      </w:r>
    </w:p>
    <w:p>
      <w:pPr>
        <w:spacing w:line="360" w:lineRule="auto"/>
        <w:ind w:firstLine="490" w:firstLineChars="175"/>
        <w:rPr>
          <w:rFonts w:ascii="宋体" w:hAnsi="宋体"/>
          <w:bCs/>
          <w:color w:val="FF0000"/>
          <w:sz w:val="28"/>
          <w:szCs w:val="28"/>
        </w:rPr>
      </w:pPr>
      <w:r>
        <w:rPr>
          <w:rFonts w:hint="eastAsia" w:ascii="宋体" w:hAnsi="宋体"/>
          <w:bCs/>
          <w:color w:val="FF0000"/>
          <w:sz w:val="28"/>
          <w:szCs w:val="28"/>
        </w:rPr>
        <w:t>竣工日期： 20</w:t>
      </w:r>
      <w:r>
        <w:rPr>
          <w:rFonts w:ascii="宋体" w:hAnsi="宋体"/>
          <w:bCs/>
          <w:color w:val="FF0000"/>
          <w:sz w:val="28"/>
          <w:szCs w:val="28"/>
        </w:rPr>
        <w:t>22</w:t>
      </w:r>
      <w:r>
        <w:rPr>
          <w:rFonts w:hint="eastAsia" w:ascii="宋体" w:hAnsi="宋体"/>
          <w:bCs/>
          <w:color w:val="FF0000"/>
          <w:sz w:val="28"/>
          <w:szCs w:val="28"/>
        </w:rPr>
        <w:t>年</w:t>
      </w:r>
      <w:r>
        <w:rPr>
          <w:rFonts w:hint="eastAsia" w:ascii="宋体" w:hAnsi="宋体"/>
          <w:bCs/>
          <w:color w:val="FF0000"/>
          <w:sz w:val="28"/>
          <w:szCs w:val="28"/>
          <w:lang w:val="en-US" w:eastAsia="zh-CN"/>
        </w:rPr>
        <w:t>11</w:t>
      </w:r>
      <w:r>
        <w:rPr>
          <w:rFonts w:hint="eastAsia" w:ascii="宋体" w:hAnsi="宋体"/>
          <w:bCs/>
          <w:color w:val="FF0000"/>
          <w:sz w:val="28"/>
          <w:szCs w:val="28"/>
        </w:rPr>
        <w:t>月</w:t>
      </w:r>
      <w:r>
        <w:rPr>
          <w:rFonts w:hint="eastAsia" w:ascii="宋体" w:hAnsi="宋体"/>
          <w:bCs/>
          <w:color w:val="FF0000"/>
          <w:sz w:val="28"/>
          <w:szCs w:val="28"/>
          <w:lang w:val="en-US" w:eastAsia="zh-CN"/>
        </w:rPr>
        <w:t xml:space="preserve"> 15</w:t>
      </w:r>
      <w:r>
        <w:rPr>
          <w:rFonts w:hint="eastAsia" w:ascii="宋体" w:hAnsi="宋体"/>
          <w:bCs/>
          <w:color w:val="FF0000"/>
          <w:sz w:val="28"/>
          <w:szCs w:val="28"/>
        </w:rPr>
        <w:t>日</w:t>
      </w:r>
    </w:p>
    <w:p>
      <w:pPr>
        <w:ind w:firstLine="548" w:firstLineChars="196"/>
        <w:rPr>
          <w:rFonts w:ascii="宋体" w:hAnsi="宋体"/>
          <w:bCs/>
          <w:sz w:val="28"/>
          <w:szCs w:val="28"/>
        </w:rPr>
      </w:pPr>
      <w:r>
        <w:rPr>
          <w:rFonts w:hint="eastAsia" w:ascii="宋体" w:hAnsi="宋体"/>
          <w:bCs/>
          <w:sz w:val="28"/>
          <w:szCs w:val="28"/>
        </w:rPr>
        <w:t>第三条 双方权利及义务</w:t>
      </w:r>
    </w:p>
    <w:p>
      <w:pPr>
        <w:spacing w:line="360" w:lineRule="auto"/>
        <w:ind w:firstLine="560" w:firstLineChars="200"/>
        <w:rPr>
          <w:rFonts w:ascii="宋体" w:hAnsi="宋体"/>
          <w:bCs/>
          <w:sz w:val="28"/>
          <w:szCs w:val="28"/>
        </w:rPr>
      </w:pPr>
      <w:r>
        <w:rPr>
          <w:rFonts w:hint="eastAsia" w:ascii="宋体" w:hAnsi="宋体"/>
          <w:bCs/>
          <w:sz w:val="28"/>
          <w:szCs w:val="28"/>
        </w:rPr>
        <w:t>3.1、甲方权利及义务</w:t>
      </w:r>
    </w:p>
    <w:p>
      <w:pPr>
        <w:ind w:firstLine="560" w:firstLineChars="200"/>
        <w:rPr>
          <w:rFonts w:ascii="宋体" w:hAnsi="宋体"/>
          <w:bCs/>
          <w:sz w:val="28"/>
          <w:szCs w:val="28"/>
        </w:rPr>
      </w:pPr>
      <w:r>
        <w:rPr>
          <w:rFonts w:hint="eastAsia" w:ascii="宋体" w:hAnsi="宋体"/>
          <w:bCs/>
          <w:sz w:val="28"/>
          <w:szCs w:val="28"/>
        </w:rPr>
        <w:t>3.1.1 甲方管理部门：运维部，甲方代表：</w:t>
      </w:r>
      <w:r>
        <w:rPr>
          <w:rFonts w:hint="eastAsia" w:ascii="宋体" w:hAnsi="宋体"/>
          <w:bCs/>
          <w:sz w:val="28"/>
          <w:szCs w:val="28"/>
          <w:lang w:val="en-US" w:eastAsia="zh-CN"/>
        </w:rPr>
        <w:t>邓日华</w:t>
      </w:r>
      <w:r>
        <w:rPr>
          <w:rFonts w:hint="eastAsia" w:ascii="宋体" w:hAnsi="宋体"/>
          <w:bCs/>
          <w:sz w:val="28"/>
          <w:szCs w:val="28"/>
        </w:rPr>
        <w:t>,负责制定岗位职责和安全规程, 对工作进度、质量等进行定期或不定期监督检查。</w:t>
      </w:r>
    </w:p>
    <w:p>
      <w:pPr>
        <w:ind w:firstLine="420" w:firstLineChars="150"/>
        <w:rPr>
          <w:rFonts w:ascii="宋体" w:hAnsi="宋体"/>
          <w:bCs/>
          <w:sz w:val="28"/>
          <w:szCs w:val="28"/>
        </w:rPr>
      </w:pPr>
      <w:r>
        <w:rPr>
          <w:rFonts w:hint="eastAsia" w:ascii="宋体" w:hAnsi="宋体"/>
          <w:bCs/>
          <w:sz w:val="28"/>
          <w:szCs w:val="28"/>
        </w:rPr>
        <w:t xml:space="preserve"> 3.1.2有权检查乙方是否按设备的操作规程使用并操作设备,对违反操作规程的行为有权制止,对责任人有权按甲方的规章制度处罚。</w:t>
      </w:r>
    </w:p>
    <w:p>
      <w:pPr>
        <w:spacing w:line="360" w:lineRule="auto"/>
        <w:ind w:left="560"/>
        <w:rPr>
          <w:rFonts w:ascii="宋体" w:hAnsi="宋体"/>
          <w:bCs/>
          <w:sz w:val="28"/>
          <w:szCs w:val="28"/>
        </w:rPr>
      </w:pPr>
      <w:r>
        <w:rPr>
          <w:rFonts w:hint="eastAsia" w:ascii="宋体" w:hAnsi="宋体"/>
          <w:bCs/>
          <w:sz w:val="28"/>
          <w:szCs w:val="28"/>
        </w:rPr>
        <w:t>3.1.3协调调试工作中出现的各种问题，重点做好设备停电的安全技术措施。</w:t>
      </w:r>
    </w:p>
    <w:p>
      <w:pPr>
        <w:spacing w:line="360" w:lineRule="auto"/>
        <w:ind w:firstLine="560" w:firstLineChars="200"/>
        <w:rPr>
          <w:rFonts w:ascii="宋体" w:hAnsi="宋体"/>
          <w:bCs/>
          <w:sz w:val="28"/>
          <w:szCs w:val="28"/>
        </w:rPr>
      </w:pPr>
      <w:r>
        <w:rPr>
          <w:rFonts w:hint="eastAsia" w:ascii="宋体" w:hAnsi="宋体"/>
          <w:bCs/>
          <w:sz w:val="28"/>
          <w:szCs w:val="28"/>
        </w:rPr>
        <w:t>3.2、乙方权利及义务</w:t>
      </w:r>
    </w:p>
    <w:p>
      <w:pPr>
        <w:tabs>
          <w:tab w:val="left" w:pos="5760"/>
        </w:tabs>
        <w:spacing w:line="360" w:lineRule="auto"/>
        <w:ind w:firstLine="560" w:firstLineChars="200"/>
        <w:rPr>
          <w:rFonts w:ascii="宋体" w:hAnsi="宋体"/>
          <w:bCs/>
          <w:sz w:val="28"/>
          <w:szCs w:val="28"/>
        </w:rPr>
      </w:pPr>
      <w:r>
        <w:rPr>
          <w:rFonts w:hint="eastAsia" w:ascii="宋体" w:hAnsi="宋体"/>
          <w:bCs/>
          <w:sz w:val="28"/>
          <w:szCs w:val="28"/>
        </w:rPr>
        <w:t>3.2.1 乙方代表: ***,乙方须按当地政府或管理部门的规定要求，办理工作时所需的相关手续、批准文件等并交纳费用。遵守国家、地方、行业及甲方安全等各项规章制度，杜绝死亡事故。服从甲方生产计划调度、完成甲方布置的相关工作并保证工作质量、保证工期。并按照国家、行业及甲方的操作规程正确使用和操作设备。</w:t>
      </w:r>
    </w:p>
    <w:p>
      <w:pPr>
        <w:spacing w:line="360" w:lineRule="auto"/>
        <w:ind w:firstLine="560" w:firstLineChars="200"/>
        <w:rPr>
          <w:rFonts w:ascii="宋体" w:hAnsi="宋体"/>
          <w:bCs/>
          <w:sz w:val="28"/>
          <w:szCs w:val="28"/>
        </w:rPr>
      </w:pPr>
      <w:r>
        <w:rPr>
          <w:rFonts w:hint="eastAsia" w:ascii="宋体" w:hAnsi="宋体"/>
          <w:bCs/>
          <w:sz w:val="28"/>
          <w:szCs w:val="28"/>
        </w:rPr>
        <w:t>3.2.2 如实向甲方报告设备的运转状况、设备故障处理情况、停机及恢复时间。</w:t>
      </w:r>
    </w:p>
    <w:p>
      <w:pPr>
        <w:spacing w:line="360" w:lineRule="auto"/>
        <w:ind w:firstLine="560" w:firstLineChars="200"/>
        <w:rPr>
          <w:rFonts w:ascii="宋体" w:hAnsi="宋体"/>
          <w:bCs/>
          <w:sz w:val="28"/>
          <w:szCs w:val="28"/>
        </w:rPr>
      </w:pPr>
      <w:r>
        <w:rPr>
          <w:rFonts w:hint="eastAsia" w:ascii="宋体" w:hAnsi="宋体"/>
          <w:bCs/>
          <w:sz w:val="28"/>
          <w:szCs w:val="28"/>
        </w:rPr>
        <w:t>3.2.3 乙方负责选派符合本合同工作要求的电气技术工人,与其工作人员签订书面劳动合同，并承担其工资、劳保以及国家有关规定缴纳的各项社会保险等费用，若乙方未与其工作人员签订书劳动合同或缴纳各项社会保险而引发的各种争议，由乙方负责解决并承担全部责任和费用。</w:t>
      </w:r>
    </w:p>
    <w:p>
      <w:pPr>
        <w:spacing w:line="360" w:lineRule="auto"/>
        <w:ind w:firstLine="560" w:firstLineChars="200"/>
        <w:rPr>
          <w:rFonts w:ascii="宋体" w:hAnsi="宋体"/>
          <w:bCs/>
          <w:sz w:val="28"/>
          <w:szCs w:val="28"/>
        </w:rPr>
      </w:pPr>
      <w:r>
        <w:rPr>
          <w:rFonts w:hint="eastAsia" w:ascii="宋体" w:hAnsi="宋体"/>
          <w:bCs/>
          <w:sz w:val="28"/>
          <w:szCs w:val="28"/>
        </w:rPr>
        <w:t>3.2.4乙方工人有权拒绝违反安全操作规程的工作。</w:t>
      </w:r>
    </w:p>
    <w:p>
      <w:pPr>
        <w:tabs>
          <w:tab w:val="left" w:pos="5760"/>
        </w:tabs>
        <w:spacing w:line="360" w:lineRule="auto"/>
        <w:ind w:firstLine="560" w:firstLineChars="200"/>
        <w:rPr>
          <w:rFonts w:ascii="宋体" w:hAnsi="宋体"/>
          <w:bCs/>
          <w:sz w:val="28"/>
          <w:szCs w:val="28"/>
        </w:rPr>
      </w:pPr>
      <w:r>
        <w:rPr>
          <w:rFonts w:hint="eastAsia" w:ascii="宋体" w:hAnsi="宋体"/>
          <w:bCs/>
          <w:sz w:val="28"/>
          <w:szCs w:val="28"/>
        </w:rPr>
        <w:t>3.2.5遇特殊工作，乙方必须经自检及甲方许可的部门验收后方可进行下道工序。</w:t>
      </w:r>
    </w:p>
    <w:p>
      <w:pPr>
        <w:spacing w:line="360" w:lineRule="auto"/>
        <w:ind w:firstLine="560" w:firstLineChars="200"/>
        <w:rPr>
          <w:rFonts w:ascii="宋体" w:hAnsi="宋体"/>
          <w:bCs/>
          <w:sz w:val="28"/>
          <w:szCs w:val="28"/>
        </w:rPr>
      </w:pPr>
      <w:r>
        <w:rPr>
          <w:rFonts w:hint="eastAsia" w:ascii="宋体" w:hAnsi="宋体"/>
          <w:bCs/>
          <w:sz w:val="28"/>
          <w:szCs w:val="28"/>
        </w:rPr>
        <w:t>3.2.6遇应急工作，乙方应在接到甲方通知后2小时内或甲方要求的合理时间内赶到现场，及时补救。</w:t>
      </w:r>
    </w:p>
    <w:p>
      <w:pPr>
        <w:tabs>
          <w:tab w:val="left" w:pos="5760"/>
        </w:tabs>
        <w:spacing w:line="360" w:lineRule="auto"/>
        <w:ind w:firstLine="560" w:firstLineChars="200"/>
        <w:rPr>
          <w:rFonts w:ascii="宋体" w:hAnsi="宋体"/>
          <w:bCs/>
          <w:sz w:val="28"/>
          <w:szCs w:val="28"/>
        </w:rPr>
      </w:pPr>
      <w:r>
        <w:rPr>
          <w:rFonts w:hint="eastAsia" w:ascii="宋体" w:hAnsi="宋体"/>
          <w:bCs/>
          <w:sz w:val="28"/>
          <w:szCs w:val="28"/>
        </w:rPr>
        <w:t>3.2.7乙方所用提交试验报告必须符合电力相关部门要求，否则重新提交，费用自理。</w:t>
      </w:r>
    </w:p>
    <w:p>
      <w:pPr>
        <w:tabs>
          <w:tab w:val="left" w:pos="5760"/>
        </w:tabs>
        <w:spacing w:line="360" w:lineRule="auto"/>
        <w:ind w:firstLine="560" w:firstLineChars="200"/>
        <w:rPr>
          <w:rFonts w:ascii="宋体" w:hAnsi="宋体"/>
          <w:bCs/>
          <w:sz w:val="28"/>
          <w:szCs w:val="28"/>
        </w:rPr>
      </w:pPr>
      <w:r>
        <w:rPr>
          <w:rFonts w:hint="eastAsia" w:ascii="宋体" w:hAnsi="宋体"/>
          <w:bCs/>
          <w:sz w:val="28"/>
          <w:szCs w:val="28"/>
        </w:rPr>
        <w:t>3.2.8由于乙方或乙方人员的原因，造成的伤、残、亡等事故，由乙方负责并承担全部费用。</w:t>
      </w:r>
    </w:p>
    <w:p>
      <w:pPr>
        <w:tabs>
          <w:tab w:val="left" w:pos="5760"/>
        </w:tabs>
        <w:spacing w:line="360" w:lineRule="auto"/>
        <w:ind w:firstLine="560" w:firstLineChars="200"/>
        <w:rPr>
          <w:rFonts w:ascii="宋体" w:hAnsi="宋体"/>
          <w:bCs/>
          <w:sz w:val="28"/>
          <w:szCs w:val="28"/>
        </w:rPr>
      </w:pPr>
      <w:r>
        <w:rPr>
          <w:rFonts w:hint="eastAsia" w:ascii="宋体" w:hAnsi="宋体"/>
          <w:bCs/>
          <w:sz w:val="28"/>
          <w:szCs w:val="28"/>
        </w:rPr>
        <w:t>3.2.9由于乙方或乙方人员的原因给甲方或第三方造成损失的，对该部分损失由乙方负责全额赔偿。</w:t>
      </w:r>
    </w:p>
    <w:p>
      <w:pPr>
        <w:tabs>
          <w:tab w:val="left" w:pos="5760"/>
        </w:tabs>
        <w:spacing w:line="360" w:lineRule="auto"/>
        <w:ind w:firstLine="560" w:firstLineChars="200"/>
        <w:rPr>
          <w:rFonts w:ascii="宋体" w:hAnsi="宋体"/>
          <w:bCs/>
          <w:sz w:val="28"/>
          <w:szCs w:val="28"/>
        </w:rPr>
      </w:pPr>
      <w:r>
        <w:rPr>
          <w:rFonts w:hint="eastAsia" w:ascii="宋体" w:hAnsi="宋体"/>
          <w:bCs/>
          <w:sz w:val="28"/>
          <w:szCs w:val="28"/>
        </w:rPr>
        <w:t>3.2.10乙方工作人员发生工伤期间的工资和一次性就业补助金、一次性医疗补助金、一次性伤残补助金等与工伤有关的所有费用均由乙方全部承担并负责支付。</w:t>
      </w:r>
    </w:p>
    <w:p>
      <w:pPr>
        <w:spacing w:line="360" w:lineRule="auto"/>
        <w:ind w:firstLine="560" w:firstLineChars="200"/>
        <w:rPr>
          <w:rFonts w:ascii="宋体" w:hAnsi="宋体"/>
          <w:bCs/>
          <w:sz w:val="28"/>
          <w:szCs w:val="28"/>
        </w:rPr>
      </w:pPr>
      <w:r>
        <w:rPr>
          <w:rFonts w:hint="eastAsia" w:ascii="宋体" w:hAnsi="宋体"/>
          <w:bCs/>
          <w:sz w:val="28"/>
          <w:szCs w:val="28"/>
        </w:rPr>
        <w:t>3.2.11制定安全措施，保证施工安全。乙方应安排专职安全员，配合甲方把好安全关，避免事故发生。</w:t>
      </w:r>
    </w:p>
    <w:p>
      <w:pPr>
        <w:ind w:firstLine="548" w:firstLineChars="196"/>
        <w:rPr>
          <w:rFonts w:ascii="宋体" w:hAnsi="宋体"/>
          <w:bCs/>
          <w:color w:val="000000" w:themeColor="text1"/>
          <w:sz w:val="28"/>
          <w:szCs w:val="28"/>
        </w:rPr>
      </w:pPr>
      <w:r>
        <w:rPr>
          <w:rFonts w:hint="eastAsia" w:ascii="宋体" w:hAnsi="宋体"/>
          <w:bCs/>
          <w:color w:val="000000" w:themeColor="text1"/>
          <w:sz w:val="28"/>
          <w:szCs w:val="28"/>
        </w:rPr>
        <w:t>第四条 合同价款及结算方式</w:t>
      </w:r>
    </w:p>
    <w:p>
      <w:pPr>
        <w:ind w:firstLine="560" w:firstLineChars="200"/>
        <w:rPr>
          <w:rFonts w:hint="eastAsia" w:ascii="宋体" w:hAnsi="宋体"/>
          <w:bCs/>
          <w:color w:val="000000" w:themeColor="text1"/>
          <w:sz w:val="28"/>
          <w:szCs w:val="28"/>
        </w:rPr>
      </w:pPr>
      <w:r>
        <w:rPr>
          <w:rFonts w:hint="eastAsia" w:ascii="宋体" w:hAnsi="宋体"/>
          <w:bCs/>
          <w:color w:val="000000" w:themeColor="text1"/>
          <w:sz w:val="28"/>
          <w:szCs w:val="28"/>
        </w:rPr>
        <w:t>4.1签订合同后乙方3日内向甲方支付合同价款10%的履约保证金，乙方单方解除本合同或存在合同约定的违约行为，甲方有权没收乙方履约保证金。合同履行结束，乙方没有违约行为，甲方将履约保证金无息退还给乙方。</w:t>
      </w:r>
    </w:p>
    <w:p>
      <w:pPr>
        <w:ind w:firstLine="560" w:firstLineChars="200"/>
        <w:rPr>
          <w:rFonts w:ascii="宋体" w:hAnsi="宋体"/>
          <w:bCs/>
          <w:color w:val="000000" w:themeColor="text1"/>
          <w:sz w:val="28"/>
          <w:szCs w:val="28"/>
        </w:rPr>
      </w:pPr>
      <w:r>
        <w:rPr>
          <w:rFonts w:hint="eastAsia" w:ascii="宋体" w:hAnsi="宋体"/>
          <w:bCs/>
          <w:color w:val="000000" w:themeColor="text1"/>
          <w:sz w:val="28"/>
          <w:szCs w:val="28"/>
        </w:rPr>
        <w:t>4.2本合同价款为***万元，大写（人民币）元整。试验工作到期结束后，乙方向甲方提供完整的试验报告，经甲方确认无误后，乙方依据合同和完工证明及发票结算100%的合同价款。</w:t>
      </w:r>
    </w:p>
    <w:p>
      <w:pPr>
        <w:ind w:firstLine="560" w:firstLineChars="200"/>
        <w:rPr>
          <w:rFonts w:ascii="宋体" w:hAnsi="宋体"/>
          <w:bCs/>
          <w:sz w:val="28"/>
          <w:szCs w:val="28"/>
        </w:rPr>
      </w:pPr>
      <w:r>
        <w:rPr>
          <w:rFonts w:hint="eastAsia" w:ascii="宋体" w:hAnsi="宋体"/>
          <w:bCs/>
          <w:sz w:val="28"/>
          <w:szCs w:val="28"/>
        </w:rPr>
        <w:t>第五条 违约责任</w:t>
      </w:r>
    </w:p>
    <w:p>
      <w:pPr>
        <w:ind w:firstLine="560" w:firstLineChars="200"/>
        <w:rPr>
          <w:rFonts w:ascii="宋体" w:hAnsi="宋体"/>
          <w:bCs/>
          <w:sz w:val="28"/>
          <w:szCs w:val="28"/>
        </w:rPr>
      </w:pPr>
      <w:r>
        <w:rPr>
          <w:rFonts w:hint="eastAsia" w:ascii="宋体" w:hAnsi="宋体"/>
          <w:bCs/>
          <w:sz w:val="28"/>
          <w:szCs w:val="28"/>
        </w:rPr>
        <w:t>5.1未经甲方允许,乙方不得以任何方式将本项目分包给第三方，否则，按本合同总价的10%作为违约金，同时，甲方有权终止本合同。因此给甲方造成损失的，乙方负全额赔偿责任和费用。对工作不负责任或不合格人员，甲方有权提出更换，否则甲方有权终止合同。</w:t>
      </w:r>
    </w:p>
    <w:p>
      <w:pPr>
        <w:ind w:firstLine="560" w:firstLineChars="200"/>
        <w:rPr>
          <w:rFonts w:ascii="宋体" w:hAnsi="宋体"/>
          <w:bCs/>
          <w:color w:val="FF0000"/>
          <w:sz w:val="28"/>
          <w:szCs w:val="28"/>
        </w:rPr>
      </w:pPr>
      <w:r>
        <w:rPr>
          <w:rFonts w:hint="eastAsia" w:ascii="宋体" w:hAnsi="宋体"/>
          <w:bCs/>
          <w:sz w:val="28"/>
          <w:szCs w:val="28"/>
        </w:rPr>
        <w:t>5.2</w:t>
      </w:r>
      <w:r>
        <w:rPr>
          <w:rFonts w:hint="eastAsia" w:ascii="宋体" w:hAnsi="宋体"/>
          <w:bCs/>
          <w:color w:val="000000" w:themeColor="text1"/>
          <w:sz w:val="28"/>
          <w:szCs w:val="28"/>
          <w14:textFill>
            <w14:solidFill>
              <w14:schemeClr w14:val="tx1"/>
            </w14:solidFill>
          </w14:textFill>
        </w:rPr>
        <w:t>因乙方原因工作不能按合同规定的期限完成，每延迟一天按合同总价款的</w:t>
      </w:r>
      <w:r>
        <w:rPr>
          <w:rFonts w:hint="eastAsia" w:ascii="宋体" w:hAnsi="宋体"/>
          <w:bCs/>
          <w:color w:val="000000" w:themeColor="text1"/>
          <w:sz w:val="28"/>
          <w:szCs w:val="28"/>
          <w:lang w:val="en-US" w:eastAsia="zh-CN"/>
          <w14:textFill>
            <w14:solidFill>
              <w14:schemeClr w14:val="tx1"/>
            </w14:solidFill>
          </w14:textFill>
        </w:rPr>
        <w:t>8</w:t>
      </w:r>
      <w:r>
        <w:rPr>
          <w:rFonts w:hint="eastAsia" w:ascii="宋体" w:hAnsi="宋体"/>
          <w:bCs/>
          <w:color w:val="000000" w:themeColor="text1"/>
          <w:sz w:val="28"/>
          <w:szCs w:val="28"/>
          <w14:textFill>
            <w14:solidFill>
              <w14:schemeClr w14:val="tx1"/>
            </w14:solidFill>
          </w14:textFill>
        </w:rPr>
        <w:t>‰/天作为违约金，违约金</w:t>
      </w:r>
      <w:bookmarkStart w:id="2" w:name="_GoBack"/>
      <w:bookmarkEnd w:id="2"/>
      <w:r>
        <w:rPr>
          <w:rFonts w:hint="eastAsia" w:ascii="宋体" w:hAnsi="宋体"/>
          <w:bCs/>
          <w:color w:val="000000" w:themeColor="text1"/>
          <w:sz w:val="28"/>
          <w:szCs w:val="28"/>
          <w14:textFill>
            <w14:solidFill>
              <w14:schemeClr w14:val="tx1"/>
            </w14:solidFill>
          </w14:textFill>
        </w:rPr>
        <w:t>从本合同款中扣除，不足部分由乙方另处支付。</w:t>
      </w:r>
    </w:p>
    <w:p>
      <w:pPr>
        <w:tabs>
          <w:tab w:val="left" w:pos="5760"/>
        </w:tabs>
        <w:spacing w:line="360" w:lineRule="auto"/>
        <w:ind w:firstLine="560" w:firstLineChars="200"/>
        <w:rPr>
          <w:rFonts w:ascii="宋体" w:hAnsi="宋体"/>
          <w:bCs/>
          <w:sz w:val="28"/>
          <w:szCs w:val="28"/>
        </w:rPr>
      </w:pPr>
      <w:r>
        <w:rPr>
          <w:rFonts w:hint="eastAsia" w:ascii="宋体" w:hAnsi="宋体"/>
          <w:bCs/>
          <w:sz w:val="28"/>
          <w:szCs w:val="28"/>
        </w:rPr>
        <w:t>5.3乙方完成本合同规定的内容，甲方按照正常程序使用操作，若给甲方造成的任何损失，由乙方承担全部赔偿责任。</w:t>
      </w:r>
    </w:p>
    <w:p>
      <w:pPr>
        <w:ind w:firstLine="560" w:firstLineChars="200"/>
        <w:rPr>
          <w:rFonts w:ascii="宋体" w:hAnsi="宋体"/>
          <w:bCs/>
          <w:sz w:val="28"/>
          <w:szCs w:val="28"/>
        </w:rPr>
      </w:pPr>
      <w:r>
        <w:rPr>
          <w:rFonts w:hint="eastAsia" w:ascii="宋体" w:hAnsi="宋体"/>
          <w:bCs/>
          <w:sz w:val="28"/>
          <w:szCs w:val="28"/>
        </w:rPr>
        <w:t>第六条 附则</w:t>
      </w:r>
    </w:p>
    <w:p>
      <w:pPr>
        <w:ind w:firstLine="560" w:firstLineChars="200"/>
        <w:rPr>
          <w:rFonts w:ascii="宋体" w:hAnsi="宋体"/>
          <w:bCs/>
          <w:sz w:val="28"/>
          <w:szCs w:val="28"/>
        </w:rPr>
      </w:pPr>
      <w:r>
        <w:rPr>
          <w:rFonts w:hint="eastAsia" w:ascii="宋体" w:hAnsi="宋体"/>
          <w:bCs/>
          <w:sz w:val="28"/>
          <w:szCs w:val="28"/>
        </w:rPr>
        <w:t>6.1 合同经甲乙双方签字盖章生效,承包费用结清之日起自然终止。</w:t>
      </w:r>
    </w:p>
    <w:p>
      <w:pPr>
        <w:ind w:firstLine="560" w:firstLineChars="200"/>
        <w:rPr>
          <w:rFonts w:ascii="宋体" w:hAnsi="宋体"/>
          <w:bCs/>
          <w:sz w:val="28"/>
          <w:szCs w:val="28"/>
        </w:rPr>
      </w:pPr>
      <w:r>
        <w:rPr>
          <w:rFonts w:hint="eastAsia" w:ascii="宋体" w:hAnsi="宋体"/>
          <w:bCs/>
          <w:sz w:val="28"/>
          <w:szCs w:val="28"/>
        </w:rPr>
        <w:t>6.2 本合同执行期间,如遇不可抗力因素,致使合同无法履行时,双方协商处理相关事宜。</w:t>
      </w:r>
    </w:p>
    <w:p>
      <w:pPr>
        <w:ind w:firstLine="560" w:firstLineChars="200"/>
        <w:rPr>
          <w:rFonts w:ascii="宋体" w:hAnsi="宋体"/>
          <w:bCs/>
          <w:sz w:val="28"/>
          <w:szCs w:val="28"/>
        </w:rPr>
      </w:pPr>
      <w:r>
        <w:rPr>
          <w:rFonts w:hint="eastAsia" w:ascii="宋体" w:hAnsi="宋体"/>
          <w:bCs/>
          <w:sz w:val="28"/>
          <w:szCs w:val="28"/>
        </w:rPr>
        <w:t>6.3 附件《安全生产管理协议书》为本合同的有效组成部分，与本合同具有同等效力。</w:t>
      </w:r>
    </w:p>
    <w:p>
      <w:pPr>
        <w:ind w:firstLine="560" w:firstLineChars="200"/>
        <w:rPr>
          <w:rFonts w:ascii="宋体" w:hAnsi="宋体"/>
          <w:bCs/>
          <w:sz w:val="28"/>
          <w:szCs w:val="28"/>
        </w:rPr>
      </w:pPr>
      <w:r>
        <w:rPr>
          <w:rFonts w:hint="eastAsia" w:ascii="宋体" w:hAnsi="宋体"/>
          <w:bCs/>
          <w:sz w:val="28"/>
          <w:szCs w:val="28"/>
        </w:rPr>
        <w:t>6.4 本合同未尽事宜，须经双方协商解决，如协商不成，可向甲方住所地人民法院起诉。</w:t>
      </w:r>
    </w:p>
    <w:p>
      <w:pPr>
        <w:tabs>
          <w:tab w:val="left" w:pos="5760"/>
        </w:tabs>
        <w:spacing w:line="360" w:lineRule="auto"/>
        <w:ind w:firstLine="560" w:firstLineChars="200"/>
        <w:rPr>
          <w:rFonts w:ascii="宋体" w:hAnsi="宋体"/>
          <w:bCs/>
          <w:sz w:val="28"/>
          <w:szCs w:val="28"/>
        </w:rPr>
      </w:pPr>
      <w:r>
        <w:rPr>
          <w:rFonts w:hint="eastAsia" w:ascii="宋体" w:hAnsi="宋体"/>
          <w:bCs/>
          <w:sz w:val="28"/>
          <w:szCs w:val="28"/>
        </w:rPr>
        <w:t>6.5 本合同正本两份，副本两份，双方各执正本一份，副本一份，正副本具有同等效力。本合同未尽事宜，按《中华人民共和国合同法》执行。</w:t>
      </w:r>
    </w:p>
    <w:p>
      <w:pPr>
        <w:pStyle w:val="9"/>
        <w:shd w:val="clear" w:color="auto" w:fill="FFFFFF"/>
        <w:spacing w:before="0" w:beforeAutospacing="0" w:after="0" w:afterAutospacing="0"/>
        <w:rPr>
          <w:bCs/>
          <w:color w:val="000000"/>
          <w:sz w:val="28"/>
          <w:szCs w:val="28"/>
        </w:rPr>
      </w:pPr>
      <w:r>
        <w:rPr>
          <w:rFonts w:hint="eastAsia"/>
          <w:bCs/>
          <w:color w:val="000000"/>
          <w:sz w:val="28"/>
          <w:szCs w:val="28"/>
        </w:rPr>
        <w:t xml:space="preserve">    6.6 </w:t>
      </w:r>
      <w:r>
        <w:rPr>
          <w:rFonts w:hint="eastAsia"/>
          <w:bCs/>
          <w:kern w:val="2"/>
          <w:sz w:val="28"/>
          <w:szCs w:val="28"/>
        </w:rPr>
        <w:t>该经济事项产生的债权不得转让</w:t>
      </w:r>
      <w:r>
        <w:rPr>
          <w:rFonts w:hint="eastAsia"/>
          <w:bCs/>
          <w:color w:val="000000"/>
          <w:sz w:val="28"/>
          <w:szCs w:val="28"/>
        </w:rPr>
        <w:t>。</w:t>
      </w:r>
    </w:p>
    <w:p>
      <w:pPr>
        <w:tabs>
          <w:tab w:val="left" w:pos="4140"/>
          <w:tab w:val="left" w:pos="4320"/>
          <w:tab w:val="left" w:pos="4680"/>
        </w:tabs>
        <w:rPr>
          <w:rFonts w:ascii="宋体" w:hAnsi="宋体"/>
          <w:bCs/>
          <w:sz w:val="28"/>
          <w:szCs w:val="28"/>
        </w:rPr>
      </w:pPr>
    </w:p>
    <w:p>
      <w:pPr>
        <w:tabs>
          <w:tab w:val="left" w:pos="4140"/>
          <w:tab w:val="left" w:pos="4320"/>
          <w:tab w:val="left" w:pos="4680"/>
        </w:tabs>
        <w:rPr>
          <w:rFonts w:ascii="宋体" w:hAnsi="宋体"/>
          <w:bCs/>
          <w:sz w:val="28"/>
          <w:szCs w:val="28"/>
        </w:rPr>
      </w:pPr>
      <w:r>
        <w:rPr>
          <w:rFonts w:hint="eastAsia" w:ascii="宋体" w:hAnsi="宋体"/>
          <w:bCs/>
          <w:sz w:val="28"/>
          <w:szCs w:val="28"/>
        </w:rPr>
        <w:t xml:space="preserve">甲方（盖章）：                  乙方（盖章）： </w:t>
      </w:r>
    </w:p>
    <w:p>
      <w:pPr>
        <w:rPr>
          <w:rFonts w:ascii="宋体" w:hAnsi="宋体"/>
          <w:bCs/>
          <w:sz w:val="28"/>
          <w:szCs w:val="28"/>
        </w:rPr>
      </w:pPr>
      <w:r>
        <w:rPr>
          <w:rFonts w:hint="eastAsia" w:ascii="宋体" w:hAnsi="宋体"/>
          <w:bCs/>
          <w:sz w:val="28"/>
          <w:szCs w:val="28"/>
        </w:rPr>
        <w:t xml:space="preserve"> 三明明城酒店有限公司          </w:t>
      </w:r>
    </w:p>
    <w:p>
      <w:pPr>
        <w:tabs>
          <w:tab w:val="left" w:pos="4500"/>
        </w:tabs>
        <w:rPr>
          <w:rFonts w:ascii="宋体" w:hAnsi="宋体"/>
          <w:bCs/>
          <w:sz w:val="28"/>
          <w:szCs w:val="28"/>
        </w:rPr>
      </w:pPr>
      <w:r>
        <w:rPr>
          <w:rFonts w:hint="eastAsia" w:ascii="宋体" w:hAnsi="宋体"/>
          <w:bCs/>
          <w:sz w:val="28"/>
          <w:szCs w:val="28"/>
        </w:rPr>
        <w:t xml:space="preserve">经办人：                        经办人： </w:t>
      </w:r>
    </w:p>
    <w:p>
      <w:pPr>
        <w:rPr>
          <w:rFonts w:ascii="宋体" w:hAnsi="宋体"/>
          <w:bCs/>
          <w:sz w:val="28"/>
          <w:szCs w:val="28"/>
        </w:rPr>
      </w:pPr>
      <w:r>
        <w:rPr>
          <w:rFonts w:hint="eastAsia" w:ascii="宋体" w:hAnsi="宋体"/>
          <w:bCs/>
          <w:sz w:val="28"/>
          <w:szCs w:val="28"/>
        </w:rPr>
        <w:t>委托代理人：                    委托代理人：</w:t>
      </w:r>
    </w:p>
    <w:p>
      <w:pPr>
        <w:tabs>
          <w:tab w:val="left" w:pos="4140"/>
          <w:tab w:val="left" w:pos="4320"/>
        </w:tabs>
        <w:ind w:firstLine="420" w:firstLineChars="150"/>
        <w:rPr>
          <w:rFonts w:ascii="宋体" w:hAnsi="宋体"/>
          <w:bCs/>
          <w:sz w:val="28"/>
          <w:szCs w:val="28"/>
        </w:rPr>
      </w:pPr>
      <w:r>
        <w:rPr>
          <w:rFonts w:hint="eastAsia" w:ascii="宋体" w:hAnsi="宋体"/>
          <w:bCs/>
          <w:sz w:val="28"/>
          <w:szCs w:val="28"/>
        </w:rPr>
        <w:t>或                              或</w:t>
      </w:r>
    </w:p>
    <w:p>
      <w:pPr>
        <w:rPr>
          <w:rFonts w:ascii="宋体" w:hAnsi="宋体"/>
          <w:bCs/>
          <w:sz w:val="28"/>
          <w:szCs w:val="28"/>
        </w:rPr>
      </w:pPr>
      <w:r>
        <w:rPr>
          <w:rFonts w:hint="eastAsia" w:ascii="宋体" w:hAnsi="宋体"/>
          <w:bCs/>
          <w:sz w:val="28"/>
          <w:szCs w:val="28"/>
        </w:rPr>
        <w:t>法定代表人：                    法定代表人：</w:t>
      </w:r>
    </w:p>
    <w:p>
      <w:pPr>
        <w:rPr>
          <w:rFonts w:ascii="宋体" w:hAnsi="宋体"/>
          <w:bCs/>
          <w:sz w:val="28"/>
          <w:szCs w:val="28"/>
        </w:rPr>
      </w:pPr>
      <w:r>
        <w:rPr>
          <w:rFonts w:hint="eastAsia" w:ascii="宋体" w:hAnsi="宋体"/>
          <w:bCs/>
          <w:sz w:val="28"/>
          <w:szCs w:val="28"/>
        </w:rPr>
        <w:t>电 话：                          电 话：</w:t>
      </w:r>
    </w:p>
    <w:p>
      <w:pPr>
        <w:rPr>
          <w:rFonts w:ascii="宋体" w:hAnsi="宋体"/>
          <w:bCs/>
          <w:sz w:val="28"/>
          <w:szCs w:val="28"/>
        </w:rPr>
      </w:pPr>
      <w:r>
        <w:rPr>
          <w:rFonts w:hint="eastAsia" w:ascii="宋体" w:hAnsi="宋体"/>
          <w:bCs/>
          <w:sz w:val="28"/>
          <w:szCs w:val="28"/>
        </w:rPr>
        <w:t>开户银行：光大银行三明分行       开户银行：</w:t>
      </w:r>
    </w:p>
    <w:p>
      <w:pPr>
        <w:rPr>
          <w:rFonts w:ascii="宋体" w:hAnsi="宋体"/>
          <w:bCs/>
          <w:sz w:val="28"/>
          <w:szCs w:val="28"/>
        </w:rPr>
      </w:pPr>
      <w:r>
        <w:rPr>
          <w:rFonts w:hint="eastAsia" w:ascii="宋体" w:hAnsi="宋体"/>
          <w:bCs/>
          <w:sz w:val="28"/>
          <w:szCs w:val="28"/>
        </w:rPr>
        <w:t>账号：5</w:t>
      </w:r>
      <w:r>
        <w:rPr>
          <w:rFonts w:ascii="宋体" w:hAnsi="宋体"/>
          <w:bCs/>
          <w:sz w:val="28"/>
          <w:szCs w:val="28"/>
        </w:rPr>
        <w:t>4720188000024050</w:t>
      </w:r>
      <w:r>
        <w:rPr>
          <w:rFonts w:hint="eastAsia" w:ascii="宋体" w:hAnsi="宋体"/>
          <w:bCs/>
          <w:sz w:val="28"/>
          <w:szCs w:val="28"/>
        </w:rPr>
        <w:t xml:space="preserve"> 账 号：</w:t>
      </w:r>
    </w:p>
    <w:p>
      <w:pPr>
        <w:rPr>
          <w:rFonts w:ascii="宋体" w:hAnsi="宋体"/>
          <w:bCs/>
          <w:sz w:val="28"/>
          <w:szCs w:val="28"/>
        </w:rPr>
      </w:pPr>
      <w:r>
        <w:rPr>
          <w:rFonts w:hint="eastAsia" w:ascii="宋体" w:hAnsi="宋体"/>
          <w:bCs/>
          <w:sz w:val="28"/>
          <w:szCs w:val="28"/>
        </w:rPr>
        <w:t>合同签订地点：三明城发大厦十三层</w:t>
      </w:r>
    </w:p>
    <w:p>
      <w:pPr>
        <w:tabs>
          <w:tab w:val="left" w:pos="3000"/>
        </w:tabs>
        <w:snapToGrid w:val="0"/>
        <w:spacing w:line="460" w:lineRule="exact"/>
        <w:rPr>
          <w:rFonts w:ascii="宋体" w:hAnsi="宋体"/>
          <w:bCs/>
          <w:sz w:val="28"/>
          <w:szCs w:val="28"/>
        </w:rPr>
      </w:pPr>
      <w:r>
        <w:rPr>
          <w:rFonts w:hint="eastAsia" w:ascii="宋体" w:hAnsi="宋体"/>
          <w:bCs/>
          <w:sz w:val="28"/>
          <w:szCs w:val="28"/>
        </w:rPr>
        <w:t>合同签订时间：     年  月   日</w:t>
      </w:r>
    </w:p>
    <w:p>
      <w:pPr>
        <w:tabs>
          <w:tab w:val="left" w:pos="3000"/>
        </w:tabs>
        <w:snapToGrid w:val="0"/>
        <w:spacing w:line="460" w:lineRule="exact"/>
        <w:rPr>
          <w:rFonts w:ascii="宋体" w:hAnsi="宋体"/>
          <w:bCs/>
          <w:sz w:val="28"/>
          <w:szCs w:val="28"/>
        </w:rPr>
      </w:pPr>
    </w:p>
    <w:p>
      <w:pPr>
        <w:spacing w:line="480" w:lineRule="exact"/>
        <w:rPr>
          <w:rFonts w:ascii="宋体" w:hAnsi="宋体"/>
          <w:bCs/>
          <w:sz w:val="28"/>
          <w:szCs w:val="28"/>
        </w:rPr>
      </w:pPr>
    </w:p>
    <w:p>
      <w:pPr>
        <w:spacing w:line="480" w:lineRule="exact"/>
        <w:rPr>
          <w:rFonts w:ascii="宋体" w:hAnsi="宋体"/>
          <w:bCs/>
          <w:sz w:val="28"/>
          <w:szCs w:val="28"/>
        </w:rPr>
      </w:pPr>
    </w:p>
    <w:p>
      <w:pPr>
        <w:spacing w:line="480" w:lineRule="exact"/>
        <w:jc w:val="center"/>
        <w:rPr>
          <w:rFonts w:ascii="宋体" w:hAnsi="宋体"/>
          <w:bCs/>
          <w:sz w:val="28"/>
          <w:szCs w:val="28"/>
        </w:rPr>
      </w:pPr>
    </w:p>
    <w:p>
      <w:pPr>
        <w:pStyle w:val="7"/>
      </w:pPr>
      <w:r>
        <w:rPr>
          <w:rFonts w:hint="eastAsia"/>
        </w:rPr>
        <w:t>安全生产管理协议书</w:t>
      </w:r>
    </w:p>
    <w:p>
      <w:pPr>
        <w:spacing w:line="500" w:lineRule="exact"/>
        <w:ind w:firstLine="560" w:firstLineChars="200"/>
        <w:rPr>
          <w:rFonts w:ascii="宋体" w:hAnsi="宋体"/>
          <w:bCs/>
          <w:sz w:val="28"/>
          <w:szCs w:val="28"/>
        </w:rPr>
      </w:pPr>
      <w:r>
        <w:rPr>
          <w:rFonts w:hint="eastAsia" w:ascii="宋体" w:hAnsi="宋体"/>
          <w:bCs/>
          <w:sz w:val="28"/>
          <w:szCs w:val="28"/>
        </w:rPr>
        <w:t>（以下简称乙方）就明城酒店（丹蓉店、新都汇店、台江店）配电室电气设备预防性试验，按照《中华人民共和国合同法》的精神，本着平等、互利、互惠、公平、公正的原则，经双方协商一致，签定本协议。</w:t>
      </w:r>
    </w:p>
    <w:p>
      <w:pPr>
        <w:spacing w:line="480" w:lineRule="exact"/>
        <w:rPr>
          <w:rFonts w:ascii="宋体" w:hAnsi="宋体"/>
          <w:bCs/>
          <w:sz w:val="28"/>
          <w:szCs w:val="28"/>
        </w:rPr>
      </w:pPr>
      <w:r>
        <w:rPr>
          <w:rFonts w:hint="eastAsia" w:ascii="宋体" w:hAnsi="宋体"/>
          <w:bCs/>
          <w:sz w:val="28"/>
          <w:szCs w:val="28"/>
        </w:rPr>
        <w:t xml:space="preserve">    一、乙方应遵守《安全生产管理条例》、国家和行业安全生产的各项法律法规，具备国家有关法律法规、行政法规、国家标准、行业标准规定的安全生产条件。</w:t>
      </w:r>
    </w:p>
    <w:p>
      <w:pPr>
        <w:spacing w:line="480" w:lineRule="exact"/>
        <w:ind w:firstLine="560" w:firstLineChars="200"/>
        <w:rPr>
          <w:rFonts w:ascii="宋体" w:hAnsi="宋体"/>
          <w:bCs/>
          <w:sz w:val="28"/>
          <w:szCs w:val="28"/>
        </w:rPr>
      </w:pPr>
      <w:r>
        <w:rPr>
          <w:rFonts w:hint="eastAsia" w:ascii="宋体" w:hAnsi="宋体"/>
          <w:bCs/>
          <w:sz w:val="28"/>
          <w:szCs w:val="28"/>
        </w:rPr>
        <w:t>二、乙方必须建立健全切实可行的安全生产管理规章制度，并认真组织实施设置安全生产管理机构，配备专门的安全生产管理人员，定期召开安全工作会议，并经常进行检查，及时处理事故隐患，确保安全生产。</w:t>
      </w:r>
    </w:p>
    <w:p>
      <w:pPr>
        <w:spacing w:line="480" w:lineRule="exact"/>
        <w:ind w:firstLine="560" w:firstLineChars="200"/>
        <w:rPr>
          <w:rFonts w:ascii="宋体" w:hAnsi="宋体"/>
          <w:bCs/>
          <w:sz w:val="28"/>
          <w:szCs w:val="28"/>
        </w:rPr>
      </w:pPr>
      <w:r>
        <w:rPr>
          <w:rFonts w:hint="eastAsia" w:ascii="宋体" w:hAnsi="宋体"/>
          <w:bCs/>
          <w:sz w:val="28"/>
          <w:szCs w:val="28"/>
        </w:rPr>
        <w:t>三、甲方对乙方的安全生产实行监督检查，对乙方的安全生产工作统一协调。乙方应遵守甲方的各项安全生产规程和有关的规章制度，并接受甲方代表和甲方安全管理机构的安全监督管理。</w:t>
      </w:r>
    </w:p>
    <w:p>
      <w:pPr>
        <w:spacing w:line="480" w:lineRule="exact"/>
        <w:ind w:firstLine="560" w:firstLineChars="200"/>
        <w:rPr>
          <w:rFonts w:ascii="宋体" w:hAnsi="宋体"/>
          <w:bCs/>
          <w:sz w:val="28"/>
          <w:szCs w:val="28"/>
        </w:rPr>
      </w:pPr>
      <w:r>
        <w:rPr>
          <w:rFonts w:hint="eastAsia" w:ascii="宋体" w:hAnsi="宋体"/>
          <w:bCs/>
          <w:sz w:val="28"/>
          <w:szCs w:val="28"/>
        </w:rPr>
        <w:t>四、乙方应加强对生产人员的安全教育和安全培训，并提供必要的劳动保护产品。乙方特种作业人员必须持有合法的特种作业操作资格证书，并持证上岗作业。</w:t>
      </w:r>
    </w:p>
    <w:p>
      <w:pPr>
        <w:spacing w:line="580" w:lineRule="exact"/>
        <w:ind w:firstLine="560" w:firstLineChars="200"/>
        <w:rPr>
          <w:rFonts w:ascii="宋体" w:hAnsi="宋体"/>
          <w:bCs/>
          <w:sz w:val="28"/>
          <w:szCs w:val="28"/>
        </w:rPr>
      </w:pPr>
      <w:r>
        <w:rPr>
          <w:rFonts w:hint="eastAsia" w:ascii="宋体" w:hAnsi="宋体"/>
          <w:bCs/>
          <w:sz w:val="28"/>
          <w:szCs w:val="28"/>
        </w:rPr>
        <w:t>五、</w:t>
      </w:r>
      <w:r>
        <w:rPr>
          <w:rFonts w:hint="eastAsia" w:ascii="宋体" w:hAnsi="宋体"/>
          <w:bCs/>
          <w:spacing w:val="6"/>
          <w:sz w:val="28"/>
          <w:szCs w:val="28"/>
        </w:rPr>
        <w:t>在合同执行期间，乙方所发生伤、残、亡等一切安全事故均由乙方妥善处理，并承担由此发生的一切费用，甲方有权根据相关规定给予必要的处罚。乙方在施工过程中对本工程以外的其他财产、设施或人身造成的损失、损伤或伤亡等均由乙方负责。</w:t>
      </w:r>
    </w:p>
    <w:p>
      <w:pPr>
        <w:snapToGrid w:val="0"/>
        <w:spacing w:line="500" w:lineRule="exact"/>
        <w:ind w:firstLine="480"/>
        <w:rPr>
          <w:rFonts w:ascii="宋体" w:hAnsi="宋体"/>
          <w:bCs/>
          <w:sz w:val="28"/>
          <w:szCs w:val="28"/>
        </w:rPr>
      </w:pPr>
      <w:r>
        <w:rPr>
          <w:rFonts w:hint="eastAsia" w:ascii="宋体" w:hAnsi="宋体"/>
          <w:bCs/>
          <w:sz w:val="28"/>
          <w:szCs w:val="28"/>
        </w:rPr>
        <w:t>六、本协议一式肆份，经双方签字盖章后生效。</w:t>
      </w:r>
    </w:p>
    <w:p>
      <w:pPr>
        <w:spacing w:line="480" w:lineRule="exact"/>
        <w:ind w:left="778" w:leftChars="244" w:hanging="266" w:hangingChars="95"/>
        <w:rPr>
          <w:rFonts w:ascii="宋体" w:hAnsi="宋体"/>
          <w:bCs/>
          <w:sz w:val="28"/>
          <w:szCs w:val="28"/>
        </w:rPr>
      </w:pPr>
      <w:bookmarkStart w:id="1" w:name="OLE_LINK1"/>
      <w:r>
        <w:rPr>
          <w:rFonts w:hint="eastAsia" w:ascii="宋体" w:hAnsi="宋体"/>
          <w:bCs/>
          <w:sz w:val="28"/>
          <w:szCs w:val="28"/>
        </w:rPr>
        <w:t xml:space="preserve">甲方（签字）：                        乙方（签字）： </w:t>
      </w:r>
    </w:p>
    <w:p>
      <w:pPr>
        <w:spacing w:line="480" w:lineRule="exact"/>
        <w:rPr>
          <w:rFonts w:ascii="宋体" w:hAnsi="宋体"/>
          <w:bCs/>
          <w:sz w:val="28"/>
          <w:szCs w:val="28"/>
        </w:rPr>
      </w:pPr>
    </w:p>
    <w:p>
      <w:pPr>
        <w:spacing w:line="480" w:lineRule="exact"/>
        <w:ind w:firstLine="560" w:firstLineChars="200"/>
        <w:rPr>
          <w:rFonts w:ascii="宋体" w:hAnsi="宋体"/>
          <w:bCs/>
          <w:sz w:val="28"/>
          <w:szCs w:val="28"/>
        </w:rPr>
      </w:pPr>
      <w:r>
        <w:rPr>
          <w:rFonts w:hint="eastAsia" w:ascii="宋体" w:hAnsi="宋体"/>
          <w:bCs/>
          <w:sz w:val="28"/>
          <w:szCs w:val="28"/>
        </w:rPr>
        <w:t>单位盖章：                           单位盖章：</w:t>
      </w:r>
    </w:p>
    <w:p>
      <w:pPr>
        <w:spacing w:line="480" w:lineRule="exact"/>
        <w:rPr>
          <w:rFonts w:ascii="宋体" w:hAnsi="宋体"/>
          <w:bCs/>
          <w:sz w:val="28"/>
          <w:szCs w:val="28"/>
        </w:rPr>
      </w:pPr>
    </w:p>
    <w:p>
      <w:pPr>
        <w:spacing w:line="480" w:lineRule="exact"/>
        <w:ind w:firstLine="560" w:firstLineChars="200"/>
        <w:rPr>
          <w:rFonts w:ascii="宋体" w:hAnsi="宋体"/>
          <w:bCs/>
          <w:sz w:val="28"/>
          <w:szCs w:val="28"/>
        </w:rPr>
      </w:pPr>
      <w:r>
        <w:rPr>
          <w:rFonts w:hint="eastAsia" w:ascii="宋体" w:hAnsi="宋体"/>
          <w:bCs/>
          <w:sz w:val="28"/>
          <w:szCs w:val="28"/>
        </w:rPr>
        <w:t>日    期：                           日    期：</w:t>
      </w:r>
      <w:bookmarkEnd w:id="1"/>
    </w:p>
    <w:p>
      <w:pPr>
        <w:spacing w:line="480" w:lineRule="exact"/>
        <w:ind w:firstLine="560" w:firstLineChars="200"/>
        <w:rPr>
          <w:rFonts w:ascii="宋体" w:hAnsi="宋体"/>
          <w:bCs/>
          <w:sz w:val="28"/>
          <w:szCs w:val="28"/>
        </w:rPr>
      </w:pPr>
    </w:p>
    <w:p>
      <w:pPr>
        <w:ind w:firstLine="560" w:firstLineChars="200"/>
        <w:jc w:val="center"/>
        <w:rPr>
          <w:rFonts w:ascii="宋体" w:hAnsi="宋体"/>
          <w:bCs/>
          <w:sz w:val="28"/>
          <w:szCs w:val="28"/>
        </w:rPr>
      </w:pPr>
    </w:p>
    <w:p>
      <w:pPr>
        <w:pStyle w:val="7"/>
      </w:pPr>
      <w:r>
        <w:rPr>
          <w:rFonts w:hint="eastAsia"/>
        </w:rPr>
        <w:t>电气设备预防性试验附件</w:t>
      </w:r>
    </w:p>
    <w:p>
      <w:pPr>
        <w:ind w:firstLine="560" w:firstLineChars="200"/>
        <w:rPr>
          <w:rFonts w:ascii="宋体" w:hAnsi="宋体"/>
          <w:bCs/>
          <w:sz w:val="28"/>
          <w:szCs w:val="28"/>
        </w:rPr>
      </w:pPr>
    </w:p>
    <w:p>
      <w:pPr>
        <w:pStyle w:val="21"/>
        <w:numPr>
          <w:ilvl w:val="0"/>
          <w:numId w:val="1"/>
        </w:numPr>
        <w:ind w:firstLineChars="0"/>
        <w:rPr>
          <w:rFonts w:ascii="宋体" w:hAnsi="宋体"/>
          <w:bCs/>
          <w:sz w:val="28"/>
          <w:szCs w:val="28"/>
        </w:rPr>
      </w:pPr>
      <w:r>
        <w:rPr>
          <w:rFonts w:hint="eastAsia" w:ascii="宋体" w:hAnsi="宋体"/>
          <w:bCs/>
          <w:sz w:val="28"/>
          <w:szCs w:val="28"/>
        </w:rPr>
        <w:t>工作概述</w:t>
      </w:r>
    </w:p>
    <w:p>
      <w:pPr>
        <w:pStyle w:val="21"/>
        <w:ind w:left="420" w:firstLine="0" w:firstLineChars="0"/>
        <w:rPr>
          <w:rFonts w:ascii="宋体" w:hAnsi="宋体"/>
          <w:bCs/>
          <w:sz w:val="28"/>
          <w:szCs w:val="28"/>
        </w:rPr>
      </w:pPr>
      <w:r>
        <w:rPr>
          <w:rFonts w:hint="eastAsia" w:ascii="宋体" w:hAnsi="宋体"/>
          <w:bCs/>
          <w:sz w:val="28"/>
          <w:szCs w:val="28"/>
        </w:rPr>
        <w:t>10kV配电房三个、10kV电缆线路、10kV变压器4台，高压柜及低压母线柜、绝缘用具等电气设备预防性试验。</w:t>
      </w:r>
    </w:p>
    <w:p>
      <w:pPr>
        <w:rPr>
          <w:rFonts w:ascii="宋体" w:hAnsi="宋体"/>
          <w:bCs/>
          <w:sz w:val="28"/>
          <w:szCs w:val="28"/>
        </w:rPr>
      </w:pPr>
      <w:r>
        <w:rPr>
          <w:rFonts w:hint="eastAsia" w:ascii="宋体" w:hAnsi="宋体"/>
          <w:bCs/>
          <w:sz w:val="28"/>
          <w:szCs w:val="28"/>
        </w:rPr>
        <w:t>二、主要工作量</w:t>
      </w:r>
    </w:p>
    <w:tbl>
      <w:tblPr>
        <w:tblStyle w:val="12"/>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3390"/>
        <w:gridCol w:w="722"/>
        <w:gridCol w:w="850"/>
        <w:gridCol w:w="3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rPr>
                <w:rFonts w:ascii="宋体" w:hAnsi="宋体"/>
                <w:b/>
                <w:szCs w:val="21"/>
              </w:rPr>
            </w:pPr>
            <w:r>
              <w:rPr>
                <w:rFonts w:hint="eastAsia" w:ascii="宋体" w:hAnsi="宋体"/>
                <w:b/>
                <w:szCs w:val="21"/>
              </w:rPr>
              <w:t>序号</w:t>
            </w:r>
          </w:p>
        </w:tc>
        <w:tc>
          <w:tcPr>
            <w:tcW w:w="3390" w:type="dxa"/>
            <w:vAlign w:val="center"/>
          </w:tcPr>
          <w:p>
            <w:pPr>
              <w:jc w:val="center"/>
              <w:rPr>
                <w:rFonts w:hint="default" w:ascii="宋体" w:hAnsi="宋体" w:eastAsia="宋体"/>
                <w:b/>
                <w:szCs w:val="21"/>
                <w:lang w:val="en-US" w:eastAsia="zh-CN"/>
              </w:rPr>
            </w:pPr>
            <w:r>
              <w:rPr>
                <w:rFonts w:hint="eastAsia" w:ascii="宋体" w:hAnsi="宋体"/>
                <w:b/>
                <w:szCs w:val="21"/>
              </w:rPr>
              <w:t>项目名称</w:t>
            </w:r>
            <w:r>
              <w:rPr>
                <w:rFonts w:hint="eastAsia" w:ascii="宋体" w:hAnsi="宋体"/>
                <w:b/>
                <w:szCs w:val="21"/>
                <w:lang w:val="en-US" w:eastAsia="zh-CN"/>
              </w:rPr>
              <w:t>-丹蓉店</w:t>
            </w:r>
          </w:p>
        </w:tc>
        <w:tc>
          <w:tcPr>
            <w:tcW w:w="722" w:type="dxa"/>
            <w:vAlign w:val="center"/>
          </w:tcPr>
          <w:p>
            <w:pPr>
              <w:jc w:val="center"/>
              <w:rPr>
                <w:rFonts w:ascii="宋体" w:hAnsi="宋体"/>
                <w:b/>
                <w:szCs w:val="21"/>
              </w:rPr>
            </w:pPr>
            <w:r>
              <w:rPr>
                <w:rFonts w:hint="eastAsia" w:ascii="宋体" w:hAnsi="宋体"/>
                <w:b/>
                <w:szCs w:val="21"/>
              </w:rPr>
              <w:t>单位</w:t>
            </w:r>
          </w:p>
        </w:tc>
        <w:tc>
          <w:tcPr>
            <w:tcW w:w="850" w:type="dxa"/>
            <w:vAlign w:val="center"/>
          </w:tcPr>
          <w:p>
            <w:pPr>
              <w:jc w:val="center"/>
              <w:rPr>
                <w:rFonts w:ascii="宋体" w:hAnsi="宋体"/>
                <w:b/>
                <w:szCs w:val="21"/>
              </w:rPr>
            </w:pPr>
            <w:r>
              <w:rPr>
                <w:rFonts w:hint="eastAsia" w:ascii="宋体" w:hAnsi="宋体"/>
                <w:b/>
                <w:szCs w:val="21"/>
              </w:rPr>
              <w:t>数量</w:t>
            </w:r>
          </w:p>
        </w:tc>
        <w:tc>
          <w:tcPr>
            <w:tcW w:w="3828" w:type="dxa"/>
            <w:vAlign w:val="center"/>
          </w:tcPr>
          <w:p>
            <w:pPr>
              <w:jc w:val="center"/>
              <w:rPr>
                <w:rFonts w:ascii="宋体" w:hAnsi="宋体"/>
                <w:b/>
                <w:szCs w:val="21"/>
              </w:rPr>
            </w:pPr>
            <w:r>
              <w:rPr>
                <w:rFonts w:hint="eastAsia" w:ascii="宋体" w:hAnsi="宋体"/>
                <w:b/>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1</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KYND-12高压进线柜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restart"/>
            <w:vAlign w:val="center"/>
          </w:tcPr>
          <w:p>
            <w:pPr>
              <w:jc w:val="center"/>
              <w:rPr>
                <w:rFonts w:ascii="宋体" w:hAnsi="宋体"/>
                <w:bCs/>
                <w:szCs w:val="21"/>
              </w:rPr>
            </w:pPr>
            <w:r>
              <w:rPr>
                <w:rFonts w:hint="eastAsia"/>
              </w:rPr>
              <w:t>不包括电气配件更换：如 1、柜内电源指示灯、交流接触器、开关手柄、操作机构弹簧、电流表等元器件的更换或维修； 2、不包括断路器和变压器等大型元件更换。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2</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KYND-12高压母线柜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3</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KYND-12高压计量柜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4</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KYND-12高压馈线柜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5</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SCB10-1000/10变压器</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台</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6</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GGD2低压进线柜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7</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GGJ2低压补偿柜20kVar</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8</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10kV电缆</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项</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9</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直流电源柜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10</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配件更换费用</w:t>
            </w:r>
          </w:p>
        </w:tc>
        <w:tc>
          <w:tcPr>
            <w:tcW w:w="5400" w:type="dxa"/>
            <w:gridSpan w:val="3"/>
            <w:vAlign w:val="center"/>
          </w:tcPr>
          <w:p>
            <w:pPr>
              <w:jc w:val="center"/>
              <w:rPr>
                <w:rFonts w:ascii="宋体" w:hAnsi="宋体"/>
                <w:bCs/>
                <w:szCs w:val="21"/>
              </w:rPr>
            </w:pPr>
            <w:r>
              <w:rPr>
                <w:rFonts w:hint="eastAsia" w:ascii="宋体" w:hAnsi="宋体"/>
                <w:bCs/>
                <w:szCs w:val="21"/>
              </w:rPr>
              <w:t>根据现场需要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11</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配电房避雷网</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项</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Merge w:val="restart"/>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12</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绝缘用具：绝缘手套</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双</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Merge w:val="continue"/>
            <w:vAlign w:val="center"/>
          </w:tcPr>
          <w:p>
            <w:pPr>
              <w:jc w:val="center"/>
              <w:rPr>
                <w:rFonts w:ascii="宋体" w:hAnsi="宋体"/>
                <w:bCs/>
                <w:szCs w:val="21"/>
              </w:rPr>
            </w:pP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绝缘用具：绝缘靴</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双</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Merge w:val="continue"/>
            <w:vAlign w:val="center"/>
          </w:tcPr>
          <w:p>
            <w:pPr>
              <w:jc w:val="center"/>
              <w:rPr>
                <w:rFonts w:ascii="宋体" w:hAnsi="宋体"/>
                <w:bCs/>
                <w:szCs w:val="21"/>
              </w:rPr>
            </w:pP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绝缘用具：高压验电器</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支</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65" w:type="dxa"/>
            <w:gridSpan w:val="4"/>
            <w:vAlign w:val="center"/>
          </w:tcPr>
          <w:p>
            <w:pPr>
              <w:keepNext w:val="0"/>
              <w:keepLines w:val="0"/>
              <w:widowControl/>
              <w:suppressLineNumbers w:val="0"/>
              <w:jc w:val="center"/>
              <w:textAlignment w:val="center"/>
              <w:rPr>
                <w:rFonts w:ascii="宋体" w:hAnsi="宋体"/>
                <w:b/>
                <w:szCs w:val="21"/>
              </w:rPr>
            </w:pPr>
            <w:r>
              <w:rPr>
                <w:rFonts w:hint="eastAsia" w:ascii="宋体" w:hAnsi="宋体" w:eastAsia="宋体" w:cs="宋体"/>
                <w:i w:val="0"/>
                <w:iCs w:val="0"/>
                <w:color w:val="000000"/>
                <w:kern w:val="0"/>
                <w:sz w:val="22"/>
                <w:szCs w:val="22"/>
                <w:u w:val="none"/>
                <w:lang w:val="en-US" w:eastAsia="zh-CN" w:bidi="ar"/>
              </w:rPr>
              <w:t>合计</w:t>
            </w:r>
          </w:p>
        </w:tc>
        <w:tc>
          <w:tcPr>
            <w:tcW w:w="3828" w:type="dxa"/>
            <w:vAlign w:val="center"/>
          </w:tcPr>
          <w:p>
            <w:pPr>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jc w:val="center"/>
              <w:rPr>
                <w:rFonts w:ascii="宋体" w:hAnsi="宋体"/>
                <w:bCs/>
                <w:szCs w:val="21"/>
              </w:rPr>
            </w:pP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b/>
                <w:bCs/>
                <w:i w:val="0"/>
                <w:iCs w:val="0"/>
                <w:color w:val="000000"/>
                <w:kern w:val="0"/>
                <w:sz w:val="21"/>
                <w:szCs w:val="21"/>
                <w:u w:val="none"/>
                <w:lang w:val="en-US" w:eastAsia="zh-CN" w:bidi="ar"/>
              </w:rPr>
              <w:t>项目名称-新都汇店</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b/>
                <w:bCs/>
                <w:i w:val="0"/>
                <w:iCs w:val="0"/>
                <w:color w:val="000000"/>
                <w:kern w:val="0"/>
                <w:sz w:val="21"/>
                <w:szCs w:val="21"/>
                <w:u w:val="none"/>
                <w:lang w:val="en-US" w:eastAsia="zh-CN" w:bidi="ar"/>
              </w:rPr>
              <w:t>单位</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b/>
                <w:bCs/>
                <w:i w:val="0"/>
                <w:iCs w:val="0"/>
                <w:color w:val="000000"/>
                <w:kern w:val="0"/>
                <w:sz w:val="21"/>
                <w:szCs w:val="21"/>
                <w:u w:val="none"/>
                <w:lang w:val="en-US" w:eastAsia="zh-CN" w:bidi="ar"/>
              </w:rPr>
              <w:t>数量</w:t>
            </w:r>
          </w:p>
        </w:tc>
        <w:tc>
          <w:tcPr>
            <w:tcW w:w="3828"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b/>
                <w:bCs/>
                <w:i w:val="0"/>
                <w:iCs w:val="0"/>
                <w:color w:val="000000"/>
                <w:kern w:val="0"/>
                <w:sz w:val="21"/>
                <w:szCs w:val="21"/>
                <w:u w:val="none"/>
                <w:lang w:val="en-US" w:eastAsia="zh-CN" w:bidi="ar"/>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1</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HXGN-12高压进线柜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restart"/>
            <w:vAlign w:val="center"/>
          </w:tcPr>
          <w:p>
            <w:pPr>
              <w:jc w:val="center"/>
              <w:rPr>
                <w:rFonts w:ascii="宋体" w:hAnsi="宋体"/>
                <w:bCs/>
                <w:szCs w:val="21"/>
              </w:rPr>
            </w:pPr>
            <w:r>
              <w:rPr>
                <w:rFonts w:hint="eastAsia"/>
              </w:rPr>
              <w:t>不包括电气配件更换：如 1、柜内电源指示灯、交流接触器、开关手柄、操作机构弹簧、电流表等元器件的更换或维修； 2、不包括断路器和变压器等大型元件更换。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2</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HXGN-12高压计量柜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3</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HXGN -12高压馈线柜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4</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S11-630/10电力变压器</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台</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5</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GGD2低压进线柜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6</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GGJ2低压补偿柜20kVar</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7</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10kV电缆</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项</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8</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配件更换费用</w:t>
            </w:r>
          </w:p>
        </w:tc>
        <w:tc>
          <w:tcPr>
            <w:tcW w:w="5400" w:type="dxa"/>
            <w:gridSpan w:val="3"/>
            <w:vAlign w:val="center"/>
          </w:tcPr>
          <w:p>
            <w:pPr>
              <w:jc w:val="center"/>
              <w:rPr>
                <w:rFonts w:ascii="宋体" w:hAnsi="宋体"/>
                <w:bCs/>
                <w:szCs w:val="21"/>
              </w:rPr>
            </w:pPr>
            <w:r>
              <w:rPr>
                <w:rFonts w:hint="eastAsia" w:ascii="宋体" w:hAnsi="宋体"/>
                <w:bCs/>
                <w:szCs w:val="21"/>
              </w:rPr>
              <w:t>根据现场需要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9</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配电房避雷网</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项</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Merge w:val="restart"/>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10</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绝缘用具：绝缘手套</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双</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Merge w:val="continue"/>
            <w:vAlign w:val="center"/>
          </w:tcPr>
          <w:p>
            <w:pPr>
              <w:jc w:val="center"/>
              <w:rPr>
                <w:rFonts w:ascii="宋体" w:hAnsi="宋体"/>
                <w:bCs/>
                <w:szCs w:val="21"/>
              </w:rPr>
            </w:pP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绝缘用具：绝缘靴</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双</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Merge w:val="continue"/>
            <w:vAlign w:val="center"/>
          </w:tcPr>
          <w:p>
            <w:pPr>
              <w:jc w:val="center"/>
              <w:rPr>
                <w:rFonts w:ascii="宋体" w:hAnsi="宋体"/>
                <w:b/>
                <w:szCs w:val="21"/>
              </w:rPr>
            </w:pPr>
          </w:p>
        </w:tc>
        <w:tc>
          <w:tcPr>
            <w:tcW w:w="3390" w:type="dxa"/>
            <w:vAlign w:val="center"/>
          </w:tcPr>
          <w:p>
            <w:pPr>
              <w:keepNext w:val="0"/>
              <w:keepLines w:val="0"/>
              <w:widowControl/>
              <w:suppressLineNumbers w:val="0"/>
              <w:jc w:val="center"/>
              <w:textAlignment w:val="center"/>
              <w:rPr>
                <w:rFonts w:ascii="宋体" w:hAnsi="宋体"/>
                <w:b/>
                <w:szCs w:val="21"/>
              </w:rPr>
            </w:pPr>
            <w:r>
              <w:rPr>
                <w:rFonts w:hint="eastAsia" w:ascii="宋体" w:hAnsi="宋体" w:eastAsia="宋体" w:cs="宋体"/>
                <w:i w:val="0"/>
                <w:iCs w:val="0"/>
                <w:color w:val="000000"/>
                <w:kern w:val="0"/>
                <w:sz w:val="24"/>
                <w:szCs w:val="24"/>
                <w:u w:val="none"/>
                <w:lang w:val="en-US" w:eastAsia="zh-CN" w:bidi="ar"/>
              </w:rPr>
              <w:t>绝缘用具：高压验电器</w:t>
            </w:r>
          </w:p>
        </w:tc>
        <w:tc>
          <w:tcPr>
            <w:tcW w:w="722" w:type="dxa"/>
            <w:vAlign w:val="center"/>
          </w:tcPr>
          <w:p>
            <w:pPr>
              <w:keepNext w:val="0"/>
              <w:keepLines w:val="0"/>
              <w:widowControl/>
              <w:suppressLineNumbers w:val="0"/>
              <w:jc w:val="center"/>
              <w:textAlignment w:val="center"/>
              <w:rPr>
                <w:rFonts w:ascii="宋体" w:hAnsi="宋体"/>
                <w:b/>
                <w:szCs w:val="21"/>
              </w:rPr>
            </w:pPr>
            <w:r>
              <w:rPr>
                <w:rFonts w:hint="eastAsia" w:ascii="宋体" w:hAnsi="宋体" w:eastAsia="宋体" w:cs="宋体"/>
                <w:i w:val="0"/>
                <w:iCs w:val="0"/>
                <w:color w:val="000000"/>
                <w:kern w:val="0"/>
                <w:sz w:val="24"/>
                <w:szCs w:val="24"/>
                <w:u w:val="none"/>
                <w:lang w:val="en-US" w:eastAsia="zh-CN" w:bidi="ar"/>
              </w:rPr>
              <w:t>支</w:t>
            </w:r>
          </w:p>
        </w:tc>
        <w:tc>
          <w:tcPr>
            <w:tcW w:w="850" w:type="dxa"/>
            <w:vAlign w:val="center"/>
          </w:tcPr>
          <w:p>
            <w:pPr>
              <w:keepNext w:val="0"/>
              <w:keepLines w:val="0"/>
              <w:widowControl/>
              <w:suppressLineNumbers w:val="0"/>
              <w:jc w:val="center"/>
              <w:textAlignment w:val="center"/>
              <w:rPr>
                <w:rFonts w:ascii="宋体" w:hAnsi="宋体"/>
                <w:b/>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Align w:val="center"/>
          </w:tcPr>
          <w:p>
            <w:pPr>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5" w:type="dxa"/>
            <w:gridSpan w:val="4"/>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合计</w:t>
            </w:r>
          </w:p>
        </w:tc>
        <w:tc>
          <w:tcPr>
            <w:tcW w:w="3828" w:type="dxa"/>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jc w:val="center"/>
              <w:rPr>
                <w:rFonts w:ascii="宋体" w:hAnsi="宋体"/>
                <w:bCs/>
                <w:szCs w:val="21"/>
              </w:rPr>
            </w:pP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b/>
                <w:bCs/>
                <w:i w:val="0"/>
                <w:iCs w:val="0"/>
                <w:color w:val="000000"/>
                <w:kern w:val="0"/>
                <w:sz w:val="21"/>
                <w:szCs w:val="21"/>
                <w:u w:val="none"/>
                <w:lang w:val="en-US" w:eastAsia="zh-CN" w:bidi="ar"/>
              </w:rPr>
              <w:t>项目名称-台江店</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b/>
                <w:bCs/>
                <w:i w:val="0"/>
                <w:iCs w:val="0"/>
                <w:color w:val="000000"/>
                <w:kern w:val="0"/>
                <w:sz w:val="21"/>
                <w:szCs w:val="21"/>
                <w:u w:val="none"/>
                <w:lang w:val="en-US" w:eastAsia="zh-CN" w:bidi="ar"/>
              </w:rPr>
              <w:t>单位</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b/>
                <w:bCs/>
                <w:i w:val="0"/>
                <w:iCs w:val="0"/>
                <w:color w:val="000000"/>
                <w:kern w:val="0"/>
                <w:sz w:val="21"/>
                <w:szCs w:val="21"/>
                <w:u w:val="none"/>
                <w:lang w:val="en-US" w:eastAsia="zh-CN" w:bidi="ar"/>
              </w:rPr>
              <w:t>数量</w:t>
            </w:r>
          </w:p>
        </w:tc>
        <w:tc>
          <w:tcPr>
            <w:tcW w:w="3828" w:type="dxa"/>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2"/>
                <w:szCs w:val="22"/>
                <w:u w:val="none"/>
                <w:lang w:val="en-US" w:eastAsia="zh-CN" w:bidi="ar"/>
              </w:rPr>
              <w:t>1</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1"/>
                <w:szCs w:val="21"/>
                <w:u w:val="none"/>
                <w:lang w:val="en-US" w:eastAsia="zh-CN" w:bidi="ar"/>
              </w:rPr>
              <w:t>KYND-12高压进线柜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1"/>
                <w:szCs w:val="21"/>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1"/>
                <w:szCs w:val="21"/>
                <w:u w:val="none"/>
                <w:lang w:val="en-US" w:eastAsia="zh-CN" w:bidi="ar"/>
              </w:rPr>
              <w:t>2</w:t>
            </w:r>
          </w:p>
        </w:tc>
        <w:tc>
          <w:tcPr>
            <w:tcW w:w="3828" w:type="dxa"/>
            <w:vMerge w:val="restart"/>
            <w:vAlign w:val="center"/>
          </w:tcPr>
          <w:p>
            <w:pPr>
              <w:jc w:val="center"/>
              <w:rPr>
                <w:rFonts w:hint="eastAsia"/>
              </w:rPr>
            </w:pPr>
          </w:p>
          <w:p>
            <w:pPr>
              <w:jc w:val="center"/>
              <w:rPr>
                <w:rFonts w:hint="eastAsia"/>
              </w:rPr>
            </w:pPr>
          </w:p>
          <w:p>
            <w:pPr>
              <w:jc w:val="center"/>
              <w:rPr>
                <w:rFonts w:hint="eastAsia"/>
              </w:rPr>
            </w:pPr>
          </w:p>
          <w:p>
            <w:pPr>
              <w:jc w:val="center"/>
              <w:rPr>
                <w:rFonts w:ascii="宋体" w:hAnsi="宋体"/>
                <w:bCs/>
                <w:szCs w:val="21"/>
              </w:rPr>
            </w:pPr>
            <w:r>
              <w:rPr>
                <w:rFonts w:hint="eastAsia"/>
              </w:rPr>
              <w:t>不包括电气配件更换：如 1、柜内电源指示灯、交流接触器、开关手柄、操作机构弹簧、电流表等元器件的更换或维修； 2、不包括断路器和变压器等大型元件更换。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2</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KYND-12高压计量柜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2</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3</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KYND-12高压母线柜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2</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4</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KYND-12高压馈线柜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2</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5</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KYND-12高压母联柜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6</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KYND-12高压隔离柜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7</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SCB10-630/10干式变压器</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台</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2</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8</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GGD2低压进线柜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2</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9</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GGJ2低压补偿柜20kVar</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2</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10</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低压母联柜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11</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10kV电缆</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项</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12</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直流电源柜</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面</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13</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配件更换费用</w:t>
            </w:r>
          </w:p>
        </w:tc>
        <w:tc>
          <w:tcPr>
            <w:tcW w:w="5400" w:type="dxa"/>
            <w:gridSpan w:val="3"/>
            <w:vAlign w:val="center"/>
          </w:tcPr>
          <w:p>
            <w:pPr>
              <w:jc w:val="center"/>
              <w:rPr>
                <w:rFonts w:ascii="宋体" w:hAnsi="宋体"/>
                <w:bCs/>
                <w:szCs w:val="21"/>
              </w:rPr>
            </w:pPr>
            <w:r>
              <w:rPr>
                <w:rFonts w:hint="eastAsia" w:ascii="宋体" w:hAnsi="宋体"/>
                <w:bCs/>
                <w:szCs w:val="21"/>
              </w:rPr>
              <w:t>根据现场需要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14</w:t>
            </w:r>
          </w:p>
        </w:tc>
        <w:tc>
          <w:tcPr>
            <w:tcW w:w="339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配电房避雷网</w:t>
            </w:r>
          </w:p>
        </w:tc>
        <w:tc>
          <w:tcPr>
            <w:tcW w:w="722"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项</w:t>
            </w:r>
          </w:p>
        </w:tc>
        <w:tc>
          <w:tcPr>
            <w:tcW w:w="850" w:type="dxa"/>
            <w:vAlign w:val="center"/>
          </w:tcPr>
          <w:p>
            <w:pPr>
              <w:keepNext w:val="0"/>
              <w:keepLines w:val="0"/>
              <w:widowControl/>
              <w:suppressLineNumbers w:val="0"/>
              <w:jc w:val="center"/>
              <w:textAlignment w:val="center"/>
              <w:rPr>
                <w:rFonts w:ascii="宋体" w:hAnsi="宋体"/>
                <w:bCs/>
                <w:szCs w:val="21"/>
              </w:rPr>
            </w:pPr>
            <w:r>
              <w:rPr>
                <w:rFonts w:hint="eastAsia" w:ascii="宋体" w:hAnsi="宋体" w:eastAsia="宋体" w:cs="宋体"/>
                <w:i w:val="0"/>
                <w:iCs w:val="0"/>
                <w:color w:val="000000"/>
                <w:kern w:val="0"/>
                <w:sz w:val="24"/>
                <w:szCs w:val="24"/>
                <w:u w:val="none"/>
                <w:lang w:val="en-US" w:eastAsia="zh-CN" w:bidi="ar"/>
              </w:rPr>
              <w:t>1</w:t>
            </w:r>
          </w:p>
        </w:tc>
        <w:tc>
          <w:tcPr>
            <w:tcW w:w="3828" w:type="dxa"/>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tcPr>
          <w:p>
            <w:pPr>
              <w:jc w:val="center"/>
              <w:rPr>
                <w:rFonts w:ascii="宋体" w:hAnsi="宋体"/>
                <w:bCs/>
                <w:szCs w:val="21"/>
              </w:rPr>
            </w:pPr>
          </w:p>
        </w:tc>
        <w:tc>
          <w:tcPr>
            <w:tcW w:w="3390" w:type="dxa"/>
          </w:tcPr>
          <w:p>
            <w:pPr>
              <w:rPr>
                <w:rFonts w:ascii="宋体" w:hAnsi="宋体"/>
                <w:bCs/>
                <w:szCs w:val="21"/>
              </w:rPr>
            </w:pPr>
          </w:p>
        </w:tc>
        <w:tc>
          <w:tcPr>
            <w:tcW w:w="722" w:type="dxa"/>
          </w:tcPr>
          <w:p>
            <w:pPr>
              <w:jc w:val="center"/>
              <w:rPr>
                <w:rFonts w:ascii="宋体" w:hAnsi="宋体"/>
                <w:bCs/>
                <w:szCs w:val="21"/>
              </w:rPr>
            </w:pPr>
          </w:p>
        </w:tc>
        <w:tc>
          <w:tcPr>
            <w:tcW w:w="850" w:type="dxa"/>
          </w:tcPr>
          <w:p>
            <w:pPr>
              <w:jc w:val="center"/>
              <w:rPr>
                <w:rFonts w:ascii="宋体" w:hAnsi="宋体"/>
                <w:bCs/>
                <w:szCs w:val="21"/>
              </w:rPr>
            </w:pPr>
          </w:p>
        </w:tc>
        <w:tc>
          <w:tcPr>
            <w:tcW w:w="3828" w:type="dxa"/>
          </w:tcPr>
          <w:p>
            <w:pPr>
              <w:rPr>
                <w:rFonts w:ascii="宋体" w:hAnsi="宋体"/>
                <w:bCs/>
                <w:szCs w:val="21"/>
              </w:rPr>
            </w:pPr>
          </w:p>
        </w:tc>
      </w:tr>
    </w:tbl>
    <w:p>
      <w:pPr>
        <w:rPr>
          <w:rFonts w:ascii="宋体" w:hAnsi="宋体"/>
          <w:bCs/>
          <w:sz w:val="28"/>
          <w:szCs w:val="28"/>
        </w:rPr>
      </w:pPr>
    </w:p>
    <w:p>
      <w:pPr>
        <w:tabs>
          <w:tab w:val="left" w:pos="5940"/>
        </w:tabs>
        <w:spacing w:line="360" w:lineRule="auto"/>
        <w:rPr>
          <w:rFonts w:ascii="宋体" w:hAnsi="宋体"/>
          <w:bCs/>
          <w:sz w:val="28"/>
          <w:szCs w:val="28"/>
        </w:rPr>
      </w:pPr>
      <w:r>
        <w:rPr>
          <w:rFonts w:hint="eastAsia" w:ascii="宋体" w:hAnsi="宋体"/>
          <w:bCs/>
          <w:sz w:val="28"/>
          <w:szCs w:val="28"/>
        </w:rPr>
        <w:t>三、验收标准</w:t>
      </w:r>
    </w:p>
    <w:p>
      <w:pPr>
        <w:tabs>
          <w:tab w:val="left" w:pos="5940"/>
        </w:tabs>
        <w:spacing w:line="360" w:lineRule="auto"/>
        <w:ind w:firstLine="560" w:firstLineChars="200"/>
        <w:rPr>
          <w:rFonts w:ascii="宋体" w:hAnsi="宋体"/>
          <w:bCs/>
          <w:sz w:val="28"/>
          <w:szCs w:val="28"/>
        </w:rPr>
      </w:pPr>
      <w:r>
        <w:rPr>
          <w:rFonts w:hint="eastAsia" w:ascii="宋体" w:hAnsi="宋体"/>
          <w:bCs/>
          <w:sz w:val="28"/>
          <w:szCs w:val="28"/>
        </w:rPr>
        <w:t>本预防性试验均须执行以下内容：</w:t>
      </w:r>
    </w:p>
    <w:p>
      <w:pPr>
        <w:tabs>
          <w:tab w:val="left" w:pos="5940"/>
        </w:tabs>
        <w:spacing w:line="360" w:lineRule="auto"/>
        <w:ind w:firstLine="560" w:firstLineChars="200"/>
        <w:rPr>
          <w:rFonts w:ascii="宋体" w:hAnsi="宋体"/>
          <w:bCs/>
          <w:sz w:val="28"/>
          <w:szCs w:val="28"/>
        </w:rPr>
      </w:pPr>
      <w:r>
        <w:rPr>
          <w:rFonts w:hint="eastAsia" w:ascii="宋体" w:hAnsi="宋体"/>
          <w:bCs/>
          <w:sz w:val="28"/>
          <w:szCs w:val="28"/>
        </w:rPr>
        <w:t>1、DL</w:t>
      </w:r>
      <w:r>
        <w:rPr>
          <w:rFonts w:ascii="宋体" w:hAnsi="宋体"/>
          <w:bCs/>
          <w:sz w:val="28"/>
          <w:szCs w:val="28"/>
        </w:rPr>
        <w:t>/T</w:t>
      </w:r>
      <w:r>
        <w:rPr>
          <w:rFonts w:hint="eastAsia" w:ascii="宋体" w:hAnsi="宋体"/>
          <w:bCs/>
          <w:sz w:val="28"/>
          <w:szCs w:val="28"/>
        </w:rPr>
        <w:t>596-</w:t>
      </w:r>
      <w:r>
        <w:rPr>
          <w:rFonts w:ascii="宋体" w:hAnsi="宋体"/>
          <w:bCs/>
          <w:sz w:val="28"/>
          <w:szCs w:val="28"/>
        </w:rPr>
        <w:t>2021</w:t>
      </w:r>
      <w:r>
        <w:rPr>
          <w:rFonts w:hint="eastAsia" w:ascii="宋体" w:hAnsi="宋体"/>
          <w:bCs/>
          <w:sz w:val="28"/>
          <w:szCs w:val="28"/>
        </w:rPr>
        <w:t>《电气设备预防性试验规程》</w:t>
      </w:r>
    </w:p>
    <w:p>
      <w:pPr>
        <w:tabs>
          <w:tab w:val="left" w:pos="5940"/>
        </w:tabs>
        <w:spacing w:line="360" w:lineRule="auto"/>
        <w:ind w:firstLine="560" w:firstLineChars="200"/>
        <w:rPr>
          <w:rFonts w:ascii="宋体" w:hAnsi="宋体"/>
          <w:bCs/>
          <w:sz w:val="28"/>
          <w:szCs w:val="28"/>
        </w:rPr>
      </w:pPr>
      <w:r>
        <w:rPr>
          <w:rFonts w:hint="eastAsia" w:ascii="宋体" w:hAnsi="宋体"/>
          <w:bCs/>
          <w:sz w:val="28"/>
          <w:szCs w:val="28"/>
        </w:rPr>
        <w:t>2、《电气设备交接试验标准》</w:t>
      </w:r>
    </w:p>
    <w:p>
      <w:pPr>
        <w:tabs>
          <w:tab w:val="left" w:pos="5940"/>
        </w:tabs>
        <w:spacing w:line="360" w:lineRule="auto"/>
        <w:ind w:firstLine="560" w:firstLineChars="200"/>
        <w:rPr>
          <w:rFonts w:ascii="宋体" w:hAnsi="宋体"/>
          <w:bCs/>
          <w:sz w:val="28"/>
          <w:szCs w:val="28"/>
        </w:rPr>
      </w:pPr>
      <w:r>
        <w:rPr>
          <w:rFonts w:hint="eastAsia" w:ascii="宋体" w:hAnsi="宋体"/>
          <w:bCs/>
          <w:sz w:val="28"/>
          <w:szCs w:val="28"/>
        </w:rPr>
        <w:t>3、《变压器和电抗器的声级测定》</w:t>
      </w:r>
    </w:p>
    <w:p>
      <w:pPr>
        <w:tabs>
          <w:tab w:val="left" w:pos="5940"/>
        </w:tabs>
        <w:spacing w:line="360" w:lineRule="auto"/>
        <w:ind w:firstLine="560" w:firstLineChars="200"/>
        <w:rPr>
          <w:rFonts w:ascii="宋体" w:hAnsi="宋体"/>
          <w:bCs/>
          <w:sz w:val="28"/>
          <w:szCs w:val="28"/>
        </w:rPr>
      </w:pPr>
      <w:r>
        <w:rPr>
          <w:rFonts w:hint="eastAsia" w:ascii="宋体" w:hAnsi="宋体"/>
          <w:bCs/>
          <w:sz w:val="28"/>
          <w:szCs w:val="28"/>
        </w:rPr>
        <w:t>4、《电气设备交接试验标准》</w:t>
      </w:r>
    </w:p>
    <w:p>
      <w:pPr>
        <w:tabs>
          <w:tab w:val="left" w:pos="5940"/>
        </w:tabs>
        <w:spacing w:line="360" w:lineRule="auto"/>
        <w:ind w:firstLine="560" w:firstLineChars="200"/>
        <w:rPr>
          <w:rFonts w:ascii="宋体" w:hAnsi="宋体"/>
          <w:bCs/>
          <w:sz w:val="28"/>
          <w:szCs w:val="28"/>
        </w:rPr>
      </w:pPr>
      <w:r>
        <w:rPr>
          <w:rFonts w:hint="eastAsia" w:ascii="宋体" w:hAnsi="宋体"/>
          <w:bCs/>
          <w:sz w:val="28"/>
          <w:szCs w:val="28"/>
        </w:rPr>
        <w:t>5、试验做到数据准确、不超期、不漏项目。试验工作结束后，试验负责人应认真核对试验项目，作好记录，当试验结果无误后，才能拆除试验接线，恢复设备原有接线。</w:t>
      </w:r>
    </w:p>
    <w:p>
      <w:pPr>
        <w:tabs>
          <w:tab w:val="left" w:pos="5940"/>
        </w:tabs>
        <w:spacing w:line="360" w:lineRule="auto"/>
        <w:ind w:firstLine="560" w:firstLineChars="200"/>
        <w:rPr>
          <w:rFonts w:ascii="宋体" w:hAnsi="宋体"/>
          <w:bCs/>
          <w:sz w:val="28"/>
          <w:szCs w:val="28"/>
        </w:rPr>
      </w:pPr>
      <w:r>
        <w:rPr>
          <w:rFonts w:hint="eastAsia" w:ascii="宋体" w:hAnsi="宋体"/>
          <w:bCs/>
          <w:sz w:val="28"/>
          <w:szCs w:val="28"/>
        </w:rPr>
        <w:t>6、电气试验完毕，7日内必须出具完整正规的试验报告。</w:t>
      </w:r>
    </w:p>
    <w:p>
      <w:pPr>
        <w:tabs>
          <w:tab w:val="left" w:pos="5940"/>
        </w:tabs>
        <w:spacing w:line="360" w:lineRule="auto"/>
        <w:ind w:firstLine="560" w:firstLineChars="200"/>
        <w:rPr>
          <w:rFonts w:ascii="宋体" w:hAnsi="宋体"/>
          <w:bCs/>
          <w:sz w:val="28"/>
          <w:szCs w:val="28"/>
        </w:rPr>
      </w:pPr>
      <w:r>
        <w:rPr>
          <w:rFonts w:hint="eastAsia" w:ascii="宋体" w:hAnsi="宋体"/>
          <w:bCs/>
          <w:sz w:val="28"/>
          <w:szCs w:val="28"/>
        </w:rPr>
        <w:t>7、各个试验地点的供电系统图由甲方提供。</w:t>
      </w:r>
    </w:p>
    <w:p>
      <w:pPr>
        <w:tabs>
          <w:tab w:val="left" w:pos="5940"/>
        </w:tabs>
        <w:spacing w:line="360" w:lineRule="auto"/>
        <w:ind w:firstLine="560" w:firstLineChars="200"/>
        <w:rPr>
          <w:rFonts w:ascii="宋体" w:hAnsi="宋体"/>
          <w:bCs/>
          <w:sz w:val="28"/>
          <w:szCs w:val="28"/>
        </w:rPr>
      </w:pPr>
      <w:r>
        <w:rPr>
          <w:rFonts w:hint="eastAsia" w:ascii="宋体" w:hAnsi="宋体"/>
          <w:bCs/>
          <w:sz w:val="28"/>
          <w:szCs w:val="28"/>
        </w:rPr>
        <w:t>8、安全绝缘用具需在半年后再做一次试验，费用包含在此次试验工程中。</w:t>
      </w:r>
    </w:p>
    <w:p>
      <w:pPr>
        <w:tabs>
          <w:tab w:val="left" w:pos="1080"/>
          <w:tab w:val="left" w:pos="5940"/>
        </w:tabs>
        <w:spacing w:line="360" w:lineRule="auto"/>
        <w:rPr>
          <w:rFonts w:ascii="宋体" w:hAnsi="宋体"/>
          <w:bCs/>
          <w:sz w:val="28"/>
          <w:szCs w:val="28"/>
        </w:rPr>
      </w:pPr>
      <w:r>
        <w:rPr>
          <w:rFonts w:hint="eastAsia" w:ascii="宋体" w:hAnsi="宋体"/>
          <w:bCs/>
          <w:sz w:val="28"/>
          <w:szCs w:val="28"/>
        </w:rPr>
        <w:t>四、试验安全规定</w:t>
      </w:r>
    </w:p>
    <w:p>
      <w:pPr>
        <w:tabs>
          <w:tab w:val="left" w:pos="1080"/>
          <w:tab w:val="left" w:pos="5940"/>
        </w:tabs>
        <w:spacing w:line="360" w:lineRule="auto"/>
        <w:ind w:firstLine="420" w:firstLineChars="150"/>
        <w:rPr>
          <w:rFonts w:ascii="宋体" w:hAnsi="宋体"/>
          <w:bCs/>
          <w:sz w:val="28"/>
          <w:szCs w:val="28"/>
        </w:rPr>
      </w:pPr>
      <w:r>
        <w:rPr>
          <w:rFonts w:hint="eastAsia" w:ascii="宋体" w:hAnsi="宋体"/>
          <w:bCs/>
          <w:sz w:val="28"/>
          <w:szCs w:val="28"/>
        </w:rPr>
        <w:t xml:space="preserve"> 1、积极开展安全教育工作，坚持以“安全第一，预防为主”的方针。狠抓安全不放松，使安全工作落实到每道工序。</w:t>
      </w:r>
    </w:p>
    <w:p>
      <w:pPr>
        <w:tabs>
          <w:tab w:val="left" w:pos="1080"/>
          <w:tab w:val="left" w:pos="5940"/>
        </w:tabs>
        <w:spacing w:line="360" w:lineRule="auto"/>
        <w:ind w:firstLine="560" w:firstLineChars="200"/>
        <w:rPr>
          <w:rFonts w:ascii="宋体" w:hAnsi="宋体"/>
          <w:bCs/>
          <w:sz w:val="28"/>
          <w:szCs w:val="28"/>
        </w:rPr>
      </w:pPr>
      <w:r>
        <w:rPr>
          <w:rFonts w:hint="eastAsia" w:ascii="宋体" w:hAnsi="宋体"/>
          <w:bCs/>
          <w:sz w:val="28"/>
          <w:szCs w:val="28"/>
        </w:rPr>
        <w:t>2、上班前严禁喝酒，班中不做与本职工作无关的事情，试验时要严肃认真、集中精力，严禁打闹、嬉笑。严格执行停送电、验电、放电等有关规章制度。</w:t>
      </w:r>
    </w:p>
    <w:p>
      <w:pPr>
        <w:tabs>
          <w:tab w:val="left" w:pos="1080"/>
          <w:tab w:val="left" w:pos="5940"/>
        </w:tabs>
        <w:spacing w:line="360" w:lineRule="auto"/>
        <w:ind w:firstLine="560" w:firstLineChars="200"/>
        <w:rPr>
          <w:rFonts w:ascii="宋体" w:hAnsi="宋体"/>
          <w:bCs/>
          <w:sz w:val="28"/>
          <w:szCs w:val="28"/>
        </w:rPr>
      </w:pPr>
      <w:r>
        <w:rPr>
          <w:rFonts w:hint="eastAsia" w:ascii="宋体" w:hAnsi="宋体"/>
          <w:bCs/>
          <w:sz w:val="28"/>
          <w:szCs w:val="28"/>
        </w:rPr>
        <w:t>3、试验人员必须经过专业技术培训，持证上岗。进行电气试验工作不得少于4人。</w:t>
      </w:r>
    </w:p>
    <w:p>
      <w:pPr>
        <w:tabs>
          <w:tab w:val="left" w:pos="1080"/>
          <w:tab w:val="left" w:pos="5940"/>
        </w:tabs>
        <w:spacing w:line="360" w:lineRule="auto"/>
        <w:ind w:firstLine="560" w:firstLineChars="200"/>
        <w:rPr>
          <w:rFonts w:ascii="宋体" w:hAnsi="宋体"/>
          <w:bCs/>
          <w:sz w:val="28"/>
          <w:szCs w:val="28"/>
        </w:rPr>
      </w:pPr>
      <w:r>
        <w:rPr>
          <w:rFonts w:hint="eastAsia" w:ascii="宋体" w:hAnsi="宋体"/>
          <w:bCs/>
          <w:sz w:val="28"/>
          <w:szCs w:val="28"/>
        </w:rPr>
        <w:t>4、现场试验人员必须掌握电气防灭火知识及触电紧急救护方法。</w:t>
      </w:r>
    </w:p>
    <w:p>
      <w:pPr>
        <w:tabs>
          <w:tab w:val="left" w:pos="1080"/>
          <w:tab w:val="left" w:pos="5940"/>
        </w:tabs>
        <w:spacing w:line="360" w:lineRule="auto"/>
        <w:ind w:firstLine="560" w:firstLineChars="200"/>
        <w:rPr>
          <w:rFonts w:ascii="宋体" w:hAnsi="宋体"/>
          <w:bCs/>
          <w:sz w:val="28"/>
          <w:szCs w:val="28"/>
        </w:rPr>
      </w:pPr>
      <w:r>
        <w:rPr>
          <w:rFonts w:hint="eastAsia" w:ascii="宋体" w:hAnsi="宋体"/>
          <w:bCs/>
          <w:sz w:val="28"/>
          <w:szCs w:val="28"/>
        </w:rPr>
        <w:t>5、遵守《安全规程》、《电气试验规程》和《电业安全工作规程》的有关标准和规定，熟悉《电气设备试验方法》的规范和要求。</w:t>
      </w:r>
    </w:p>
    <w:p>
      <w:pPr>
        <w:tabs>
          <w:tab w:val="left" w:pos="1080"/>
          <w:tab w:val="left" w:pos="5940"/>
        </w:tabs>
        <w:spacing w:line="360" w:lineRule="auto"/>
        <w:ind w:firstLine="560" w:firstLineChars="200"/>
        <w:rPr>
          <w:rFonts w:ascii="宋体" w:hAnsi="宋体"/>
          <w:bCs/>
          <w:sz w:val="28"/>
          <w:szCs w:val="28"/>
        </w:rPr>
      </w:pPr>
      <w:r>
        <w:rPr>
          <w:rFonts w:hint="eastAsia" w:ascii="宋体" w:hAnsi="宋体"/>
          <w:bCs/>
          <w:sz w:val="28"/>
          <w:szCs w:val="28"/>
        </w:rPr>
        <w:t>6、试验人员上岗前必须正确穿戴劳动防护用品，操作中严格按规章制度操作，杜绝违章指挥，违章操作。</w:t>
      </w:r>
    </w:p>
    <w:p>
      <w:pPr>
        <w:tabs>
          <w:tab w:val="left" w:pos="1080"/>
          <w:tab w:val="left" w:pos="5940"/>
        </w:tabs>
        <w:spacing w:line="360" w:lineRule="auto"/>
        <w:ind w:firstLine="560" w:firstLineChars="200"/>
        <w:rPr>
          <w:rFonts w:ascii="宋体" w:hAnsi="宋体"/>
          <w:bCs/>
          <w:sz w:val="28"/>
          <w:szCs w:val="28"/>
        </w:rPr>
      </w:pPr>
      <w:r>
        <w:rPr>
          <w:rFonts w:hint="eastAsia" w:ascii="宋体" w:hAnsi="宋体"/>
          <w:bCs/>
          <w:sz w:val="28"/>
          <w:szCs w:val="28"/>
        </w:rPr>
        <w:t>7、做电气试验时，电源线不应使用塑料线。</w:t>
      </w:r>
    </w:p>
    <w:p>
      <w:pPr>
        <w:tabs>
          <w:tab w:val="left" w:pos="1080"/>
          <w:tab w:val="left" w:pos="5940"/>
        </w:tabs>
        <w:spacing w:line="360" w:lineRule="auto"/>
        <w:ind w:firstLine="560" w:firstLineChars="200"/>
        <w:rPr>
          <w:rFonts w:ascii="宋体" w:hAnsi="宋体"/>
          <w:bCs/>
          <w:sz w:val="28"/>
          <w:szCs w:val="28"/>
        </w:rPr>
      </w:pPr>
      <w:r>
        <w:rPr>
          <w:rFonts w:hint="eastAsia" w:ascii="宋体" w:hAnsi="宋体"/>
          <w:bCs/>
          <w:sz w:val="28"/>
          <w:szCs w:val="28"/>
        </w:rPr>
        <w:t>8、在运行的二次回路上工作时，应穿低压绝缘鞋或站在绝缘垫上，有专人监护，使用的工具必须绝缘。电流互感器二次侧不得开路，短路二次侧绕组必须使用截面积不小于2.5mm</w:t>
      </w:r>
      <w:r>
        <w:rPr>
          <w:rFonts w:hint="eastAsia" w:ascii="宋体" w:hAnsi="宋体"/>
          <w:bCs/>
          <w:sz w:val="28"/>
          <w:szCs w:val="28"/>
          <w:vertAlign w:val="superscript"/>
        </w:rPr>
        <w:t>2</w:t>
      </w:r>
      <w:r>
        <w:rPr>
          <w:rFonts w:hint="eastAsia" w:ascii="宋体" w:hAnsi="宋体"/>
          <w:bCs/>
          <w:sz w:val="28"/>
          <w:szCs w:val="28"/>
        </w:rPr>
        <w:t>的短路片或短路铜线，连接必须牢固可靠。禁止将电压互感器二次侧短路，严禁在带电的电压互感器上工作。试验中必须采取措施，严防电压互感器从二次侧往一次侧返电。</w:t>
      </w:r>
    </w:p>
    <w:p>
      <w:pPr>
        <w:pStyle w:val="9"/>
        <w:spacing w:before="0" w:beforeAutospacing="0" w:after="0" w:afterAutospacing="0" w:line="360" w:lineRule="auto"/>
        <w:rPr>
          <w:szCs w:val="24"/>
        </w:rPr>
      </w:pPr>
      <w:r>
        <w:rPr>
          <w:rFonts w:hint="eastAsia"/>
          <w:bCs/>
          <w:sz w:val="28"/>
          <w:szCs w:val="28"/>
        </w:rPr>
        <w:t>9、坚持班前六必讲制度（</w:t>
      </w:r>
      <w:r>
        <w:rPr>
          <w:sz w:val="28"/>
          <w:szCs w:val="28"/>
        </w:rPr>
        <w:t>当班组长对每位职工必讲上一班现场情况和存在的问题</w:t>
      </w:r>
      <w:r>
        <w:rPr>
          <w:rFonts w:hint="eastAsia"/>
          <w:sz w:val="28"/>
          <w:szCs w:val="28"/>
        </w:rPr>
        <w:t>；</w:t>
      </w:r>
      <w:r>
        <w:rPr>
          <w:sz w:val="28"/>
          <w:szCs w:val="28"/>
        </w:rPr>
        <w:t>必讲现场主要安全措施；必讲本班具体明确的注意事项和处理方法</w:t>
      </w:r>
      <w:r>
        <w:rPr>
          <w:rFonts w:hint="eastAsia"/>
          <w:sz w:val="28"/>
          <w:szCs w:val="28"/>
        </w:rPr>
        <w:t>；</w:t>
      </w:r>
      <w:r>
        <w:rPr>
          <w:sz w:val="28"/>
          <w:szCs w:val="28"/>
        </w:rPr>
        <w:t>必讲当班组长的主要安全责任和必须把住的安全环节</w:t>
      </w:r>
      <w:r>
        <w:rPr>
          <w:rFonts w:hint="eastAsia"/>
          <w:sz w:val="28"/>
          <w:szCs w:val="28"/>
        </w:rPr>
        <w:t>；</w:t>
      </w:r>
      <w:r>
        <w:rPr>
          <w:sz w:val="28"/>
          <w:szCs w:val="28"/>
        </w:rPr>
        <w:t>必讲特殊工种的岗位要求；必讲有问题、有隐患地点作业人员必须注意的安全事项，使职工充分了解自己工作的责权与注意事项</w:t>
      </w:r>
      <w:r>
        <w:rPr>
          <w:rFonts w:hint="eastAsia"/>
          <w:bCs/>
          <w:sz w:val="28"/>
          <w:szCs w:val="28"/>
        </w:rPr>
        <w:t>），随时检查安全工作，增加员工安全保护意识，消除安全隐患。</w:t>
      </w:r>
    </w:p>
    <w:p>
      <w:pPr>
        <w:tabs>
          <w:tab w:val="left" w:pos="1080"/>
          <w:tab w:val="left" w:pos="5940"/>
        </w:tabs>
        <w:spacing w:line="360" w:lineRule="auto"/>
        <w:ind w:firstLine="560" w:firstLineChars="200"/>
        <w:rPr>
          <w:rFonts w:ascii="宋体" w:hAnsi="宋体"/>
          <w:bCs/>
          <w:sz w:val="28"/>
          <w:szCs w:val="28"/>
        </w:rPr>
      </w:pPr>
      <w:r>
        <w:rPr>
          <w:rFonts w:hint="eastAsia" w:ascii="宋体" w:hAnsi="宋体"/>
          <w:bCs/>
          <w:sz w:val="28"/>
          <w:szCs w:val="28"/>
        </w:rPr>
        <w:t>10、隐蔽工程必须经有关人员检查验收合格后方能进行下道工序。</w:t>
      </w:r>
    </w:p>
    <w:p>
      <w:pPr>
        <w:tabs>
          <w:tab w:val="left" w:pos="1080"/>
          <w:tab w:val="left" w:pos="5940"/>
        </w:tabs>
        <w:spacing w:line="360" w:lineRule="auto"/>
        <w:rPr>
          <w:rFonts w:ascii="宋体" w:hAnsi="宋体"/>
          <w:bCs/>
          <w:sz w:val="28"/>
          <w:szCs w:val="28"/>
        </w:rPr>
      </w:pPr>
      <w:r>
        <w:rPr>
          <w:rFonts w:hint="eastAsia" w:ascii="宋体" w:hAnsi="宋体"/>
          <w:bCs/>
          <w:sz w:val="28"/>
          <w:szCs w:val="28"/>
        </w:rPr>
        <w:t>五、试验前准备</w:t>
      </w:r>
    </w:p>
    <w:p>
      <w:pPr>
        <w:tabs>
          <w:tab w:val="left" w:pos="1080"/>
          <w:tab w:val="left" w:pos="5940"/>
        </w:tabs>
        <w:spacing w:line="360" w:lineRule="auto"/>
        <w:ind w:firstLine="560" w:firstLineChars="200"/>
        <w:rPr>
          <w:rFonts w:ascii="宋体" w:hAnsi="宋体"/>
          <w:bCs/>
          <w:sz w:val="28"/>
          <w:szCs w:val="28"/>
        </w:rPr>
      </w:pPr>
      <w:r>
        <w:rPr>
          <w:rFonts w:hint="eastAsia" w:ascii="宋体" w:hAnsi="宋体"/>
          <w:bCs/>
          <w:sz w:val="28"/>
          <w:szCs w:val="28"/>
        </w:rPr>
        <w:t>1、试验前工作负责人应对全体人员详细布置试验内容。试验标准和安全注意事项，试验人员要有明确的分工，坚守岗位，各行其是。</w:t>
      </w:r>
    </w:p>
    <w:p>
      <w:pPr>
        <w:tabs>
          <w:tab w:val="left" w:pos="1080"/>
          <w:tab w:val="left" w:pos="5940"/>
        </w:tabs>
        <w:spacing w:line="360" w:lineRule="auto"/>
        <w:ind w:firstLine="560" w:firstLineChars="200"/>
        <w:rPr>
          <w:rFonts w:ascii="宋体" w:hAnsi="宋体"/>
          <w:bCs/>
          <w:sz w:val="28"/>
          <w:szCs w:val="28"/>
        </w:rPr>
      </w:pPr>
      <w:r>
        <w:rPr>
          <w:rFonts w:hint="eastAsia" w:ascii="宋体" w:hAnsi="宋体"/>
          <w:bCs/>
          <w:sz w:val="28"/>
          <w:szCs w:val="28"/>
        </w:rPr>
        <w:t>2、试验前必须了解试验现场情况，试验用具和被试验设备的情况，选择好仪表、仪器设备，熟悉有关技术资料，制定每个地点的安全合理的试验方案及安全措施，与甲方讨论并通过后，方可按计划进行试验。严格按制定方案执行。</w:t>
      </w:r>
    </w:p>
    <w:p>
      <w:pPr>
        <w:tabs>
          <w:tab w:val="left" w:pos="1080"/>
          <w:tab w:val="left" w:pos="5940"/>
        </w:tabs>
        <w:spacing w:line="360" w:lineRule="auto"/>
        <w:ind w:firstLine="560" w:firstLineChars="200"/>
        <w:rPr>
          <w:rFonts w:ascii="宋体" w:hAnsi="宋体"/>
          <w:bCs/>
          <w:sz w:val="28"/>
          <w:szCs w:val="28"/>
        </w:rPr>
      </w:pPr>
      <w:r>
        <w:rPr>
          <w:rFonts w:hint="eastAsia" w:ascii="宋体" w:hAnsi="宋体"/>
          <w:bCs/>
          <w:sz w:val="28"/>
          <w:szCs w:val="28"/>
        </w:rPr>
        <w:t>3、试验之前必须认真检查柜内设备，严防各种仪表、传感器、保护单元、航空插头、互感器等元件损坏。</w:t>
      </w:r>
    </w:p>
    <w:p>
      <w:pPr>
        <w:tabs>
          <w:tab w:val="left" w:pos="1080"/>
          <w:tab w:val="left" w:pos="5940"/>
        </w:tabs>
        <w:spacing w:line="360" w:lineRule="auto"/>
        <w:ind w:firstLine="560" w:firstLineChars="200"/>
        <w:rPr>
          <w:rFonts w:ascii="宋体" w:hAnsi="宋体"/>
          <w:bCs/>
          <w:sz w:val="28"/>
          <w:szCs w:val="28"/>
        </w:rPr>
      </w:pPr>
      <w:r>
        <w:rPr>
          <w:rFonts w:hint="eastAsia" w:ascii="宋体" w:hAnsi="宋体"/>
          <w:bCs/>
          <w:sz w:val="28"/>
          <w:szCs w:val="28"/>
        </w:rPr>
        <w:t>4、高压电气设备停电试验时，必须严格执行停送电工作制度，慎重核实设备编号、线路后，才能按规定程序进行倒闸操作。</w:t>
      </w:r>
    </w:p>
    <w:p>
      <w:pPr>
        <w:tabs>
          <w:tab w:val="left" w:pos="1080"/>
          <w:tab w:val="left" w:pos="5940"/>
        </w:tabs>
        <w:spacing w:line="360" w:lineRule="auto"/>
        <w:ind w:firstLine="560" w:firstLineChars="200"/>
        <w:rPr>
          <w:rFonts w:ascii="宋体" w:hAnsi="宋体"/>
          <w:bCs/>
          <w:sz w:val="28"/>
          <w:szCs w:val="28"/>
        </w:rPr>
      </w:pPr>
      <w:r>
        <w:rPr>
          <w:rFonts w:hint="eastAsia" w:ascii="宋体" w:hAnsi="宋体"/>
          <w:bCs/>
          <w:sz w:val="28"/>
          <w:szCs w:val="28"/>
        </w:rPr>
        <w:t>5、继电保护装置检验，整定前应备有整定方案、原理接线图、回路安装图、前次检验记录、有关的检验规程、使用的仪表仪器、设备、工具连接线、备用零件和正式的检验记录表格。</w:t>
      </w:r>
    </w:p>
    <w:p>
      <w:pPr>
        <w:tabs>
          <w:tab w:val="left" w:pos="1080"/>
          <w:tab w:val="left" w:pos="5940"/>
        </w:tabs>
        <w:spacing w:line="360" w:lineRule="auto"/>
        <w:ind w:firstLine="560" w:firstLineChars="200"/>
        <w:rPr>
          <w:rFonts w:ascii="宋体" w:hAnsi="宋体"/>
          <w:bCs/>
          <w:sz w:val="28"/>
          <w:szCs w:val="28"/>
        </w:rPr>
      </w:pPr>
      <w:r>
        <w:rPr>
          <w:rFonts w:hint="eastAsia" w:ascii="宋体" w:hAnsi="宋体"/>
          <w:bCs/>
          <w:sz w:val="28"/>
          <w:szCs w:val="28"/>
        </w:rPr>
        <w:t>6、试验现场必须安装护栏或围栏，向外悬挂“止步，高压危险”标示牌，并设专人监护。</w:t>
      </w:r>
    </w:p>
    <w:p>
      <w:pPr>
        <w:tabs>
          <w:tab w:val="left" w:pos="1080"/>
          <w:tab w:val="left" w:pos="5940"/>
        </w:tabs>
        <w:spacing w:line="360" w:lineRule="auto"/>
        <w:rPr>
          <w:rFonts w:ascii="宋体" w:hAnsi="宋体"/>
          <w:bCs/>
          <w:sz w:val="28"/>
          <w:szCs w:val="28"/>
        </w:rPr>
      </w:pPr>
      <w:r>
        <w:rPr>
          <w:rFonts w:hint="eastAsia" w:ascii="宋体" w:hAnsi="宋体"/>
          <w:bCs/>
          <w:sz w:val="28"/>
          <w:szCs w:val="28"/>
        </w:rPr>
        <w:t>六、试验操作</w:t>
      </w:r>
    </w:p>
    <w:p>
      <w:pPr>
        <w:tabs>
          <w:tab w:val="left" w:pos="1080"/>
          <w:tab w:val="left" w:pos="5940"/>
        </w:tabs>
        <w:spacing w:line="360" w:lineRule="auto"/>
        <w:ind w:firstLine="280" w:firstLineChars="100"/>
        <w:rPr>
          <w:rFonts w:ascii="宋体" w:hAnsi="宋体"/>
          <w:bCs/>
          <w:sz w:val="28"/>
          <w:szCs w:val="28"/>
        </w:rPr>
      </w:pPr>
      <w:r>
        <w:rPr>
          <w:rFonts w:hint="eastAsia" w:ascii="宋体" w:hAnsi="宋体"/>
          <w:bCs/>
          <w:sz w:val="28"/>
          <w:szCs w:val="28"/>
        </w:rPr>
        <w:t>（一）、高压电气试验</w:t>
      </w:r>
    </w:p>
    <w:p>
      <w:pPr>
        <w:tabs>
          <w:tab w:val="left" w:pos="1260"/>
          <w:tab w:val="left" w:pos="5940"/>
        </w:tabs>
        <w:spacing w:line="360" w:lineRule="auto"/>
        <w:ind w:firstLine="560" w:firstLineChars="200"/>
        <w:rPr>
          <w:rFonts w:ascii="宋体" w:hAnsi="宋体"/>
          <w:bCs/>
          <w:sz w:val="28"/>
          <w:szCs w:val="28"/>
        </w:rPr>
      </w:pPr>
      <w:r>
        <w:rPr>
          <w:rFonts w:hint="eastAsia" w:ascii="宋体" w:hAnsi="宋体"/>
          <w:bCs/>
          <w:sz w:val="28"/>
          <w:szCs w:val="28"/>
        </w:rPr>
        <w:t>1、因试验需要断开设备接头时，拆前应做好相位标记，恢复后应进行核查。</w:t>
      </w:r>
    </w:p>
    <w:p>
      <w:pPr>
        <w:tabs>
          <w:tab w:val="left" w:pos="1260"/>
          <w:tab w:val="left" w:pos="5940"/>
        </w:tabs>
        <w:spacing w:line="360" w:lineRule="auto"/>
        <w:ind w:firstLine="560" w:firstLineChars="200"/>
        <w:rPr>
          <w:rFonts w:ascii="宋体" w:hAnsi="宋体"/>
          <w:bCs/>
          <w:sz w:val="28"/>
          <w:szCs w:val="28"/>
        </w:rPr>
      </w:pPr>
      <w:r>
        <w:rPr>
          <w:rFonts w:hint="eastAsia" w:ascii="宋体" w:hAnsi="宋体"/>
          <w:bCs/>
          <w:sz w:val="28"/>
          <w:szCs w:val="28"/>
        </w:rPr>
        <w:t>2、试验前检查试验装置金属外壳，应有可靠接地线，高压引线应尽量缩短，必要时用绝缘物支持牢固。试验装置的低压电源，应使用能够可靠断开并形成明显断口的双极隔离开关和电源指示灯两个串联电源开关，并加装过载保护装置。</w:t>
      </w:r>
    </w:p>
    <w:p>
      <w:pPr>
        <w:tabs>
          <w:tab w:val="left" w:pos="1260"/>
          <w:tab w:val="left" w:pos="5940"/>
        </w:tabs>
        <w:spacing w:line="360" w:lineRule="auto"/>
        <w:ind w:firstLine="560" w:firstLineChars="200"/>
        <w:rPr>
          <w:rFonts w:ascii="宋体" w:hAnsi="宋体"/>
          <w:bCs/>
          <w:sz w:val="28"/>
          <w:szCs w:val="28"/>
        </w:rPr>
      </w:pPr>
      <w:r>
        <w:rPr>
          <w:rFonts w:hint="eastAsia" w:ascii="宋体" w:hAnsi="宋体"/>
          <w:bCs/>
          <w:sz w:val="28"/>
          <w:szCs w:val="28"/>
        </w:rPr>
        <w:t>3、试验前应测量被试设备的绝缘电阻，合格后才可进行其他试验项目。</w:t>
      </w:r>
    </w:p>
    <w:p>
      <w:pPr>
        <w:tabs>
          <w:tab w:val="left" w:pos="1260"/>
          <w:tab w:val="left" w:pos="5940"/>
        </w:tabs>
        <w:spacing w:line="360" w:lineRule="auto"/>
        <w:ind w:firstLine="560" w:firstLineChars="200"/>
        <w:rPr>
          <w:rFonts w:ascii="宋体" w:hAnsi="宋体"/>
          <w:bCs/>
          <w:sz w:val="28"/>
          <w:szCs w:val="28"/>
        </w:rPr>
      </w:pPr>
      <w:r>
        <w:rPr>
          <w:rFonts w:hint="eastAsia" w:ascii="宋体" w:hAnsi="宋体"/>
          <w:bCs/>
          <w:sz w:val="28"/>
          <w:szCs w:val="28"/>
        </w:rPr>
        <w:t>4、试验前和变更试验接线时，应坚持复查接线；通电后调压器手把应保持在零位；合、拉闸必须互相呼应，正确传达口令；加压时应重复要求加压的数字。避免加压错误。</w:t>
      </w:r>
    </w:p>
    <w:p>
      <w:pPr>
        <w:tabs>
          <w:tab w:val="left" w:pos="1260"/>
          <w:tab w:val="left" w:pos="5940"/>
        </w:tabs>
        <w:spacing w:line="360" w:lineRule="auto"/>
        <w:ind w:firstLine="560" w:firstLineChars="200"/>
        <w:rPr>
          <w:rFonts w:ascii="宋体" w:hAnsi="宋体"/>
          <w:bCs/>
          <w:sz w:val="28"/>
          <w:szCs w:val="28"/>
        </w:rPr>
      </w:pPr>
      <w:r>
        <w:rPr>
          <w:rFonts w:hint="eastAsia" w:ascii="宋体" w:hAnsi="宋体"/>
          <w:bCs/>
          <w:sz w:val="28"/>
          <w:szCs w:val="28"/>
        </w:rPr>
        <w:t>5、改变接线、寻找故障或试验结束时，应先断开试验电源，然后放电，必要时还应将升压设备的高压部分接地。</w:t>
      </w:r>
    </w:p>
    <w:p>
      <w:pPr>
        <w:tabs>
          <w:tab w:val="left" w:pos="1260"/>
          <w:tab w:val="left" w:pos="5940"/>
        </w:tabs>
        <w:spacing w:line="360" w:lineRule="auto"/>
        <w:ind w:firstLine="420" w:firstLineChars="150"/>
        <w:rPr>
          <w:rFonts w:ascii="宋体" w:hAnsi="宋体"/>
          <w:bCs/>
          <w:sz w:val="28"/>
          <w:szCs w:val="28"/>
        </w:rPr>
      </w:pPr>
      <w:r>
        <w:rPr>
          <w:rFonts w:hint="eastAsia" w:ascii="宋体" w:hAnsi="宋体"/>
          <w:bCs/>
          <w:sz w:val="28"/>
          <w:szCs w:val="28"/>
        </w:rPr>
        <w:t xml:space="preserve"> 6、试验用低压电源、电压互感器、电流互感器、二次回路等的接地线，必须在设备停电后拆除。</w:t>
      </w:r>
    </w:p>
    <w:p>
      <w:pPr>
        <w:tabs>
          <w:tab w:val="left" w:pos="1260"/>
          <w:tab w:val="left" w:pos="5940"/>
        </w:tabs>
        <w:spacing w:line="360" w:lineRule="auto"/>
        <w:ind w:firstLine="560" w:firstLineChars="200"/>
        <w:rPr>
          <w:rFonts w:ascii="宋体" w:hAnsi="宋体"/>
          <w:bCs/>
          <w:sz w:val="28"/>
          <w:szCs w:val="28"/>
        </w:rPr>
      </w:pPr>
      <w:r>
        <w:rPr>
          <w:rFonts w:hint="eastAsia" w:ascii="宋体" w:hAnsi="宋体"/>
          <w:bCs/>
          <w:sz w:val="28"/>
          <w:szCs w:val="28"/>
        </w:rPr>
        <w:t>7、在泄漏、耐压试验中，当发现升压到某一值时，调压器继续升压而电压表指示不再上升或电压表指示突然回零，应立即将调压器手把调至零位，断开开关，切断电源，找出原因。</w:t>
      </w:r>
    </w:p>
    <w:p>
      <w:pPr>
        <w:ind w:firstLine="560" w:firstLineChars="200"/>
        <w:rPr>
          <w:rFonts w:ascii="宋体" w:hAnsi="宋体"/>
          <w:bCs/>
          <w:sz w:val="28"/>
          <w:szCs w:val="28"/>
        </w:rPr>
      </w:pPr>
      <w:r>
        <w:rPr>
          <w:rFonts w:hint="eastAsia" w:ascii="宋体" w:hAnsi="宋体"/>
          <w:bCs/>
          <w:sz w:val="28"/>
          <w:szCs w:val="28"/>
        </w:rPr>
        <w:t>（二）、绝缘用具的试验</w:t>
      </w:r>
    </w:p>
    <w:p>
      <w:pPr>
        <w:ind w:firstLine="560" w:firstLineChars="200"/>
        <w:rPr>
          <w:rFonts w:ascii="宋体" w:hAnsi="宋体"/>
          <w:bCs/>
          <w:sz w:val="28"/>
          <w:szCs w:val="28"/>
        </w:rPr>
      </w:pPr>
      <w:r>
        <w:rPr>
          <w:rFonts w:hint="eastAsia" w:ascii="宋体" w:hAnsi="宋体"/>
          <w:bCs/>
          <w:sz w:val="28"/>
          <w:szCs w:val="28"/>
        </w:rPr>
        <w:t>绝缘安全用具的绝缘状况十分重要，它的绝缘性能的好坏直接关系到工作人员的人身安全，因此，必须制定严格的制度，按规定进行检查试验。对新购置或使用中的安全用具，必须进行验收及定期试验。</w:t>
      </w:r>
    </w:p>
    <w:p>
      <w:pPr>
        <w:ind w:firstLine="560" w:firstLineChars="200"/>
        <w:rPr>
          <w:rFonts w:ascii="宋体" w:hAnsi="宋体"/>
          <w:bCs/>
          <w:sz w:val="28"/>
          <w:szCs w:val="28"/>
        </w:rPr>
      </w:pPr>
      <w:r>
        <w:rPr>
          <w:rFonts w:hint="eastAsia" w:ascii="宋体" w:hAnsi="宋体"/>
          <w:bCs/>
          <w:sz w:val="28"/>
          <w:szCs w:val="28"/>
        </w:rPr>
        <w:t>试验前，应对安全用具外观进行仔细检查。</w:t>
      </w:r>
    </w:p>
    <w:p>
      <w:pPr>
        <w:ind w:firstLine="420" w:firstLineChars="150"/>
        <w:rPr>
          <w:rFonts w:ascii="宋体" w:hAnsi="宋体"/>
          <w:bCs/>
          <w:sz w:val="28"/>
          <w:szCs w:val="28"/>
        </w:rPr>
      </w:pPr>
      <w:r>
        <w:rPr>
          <w:rFonts w:hint="eastAsia" w:ascii="宋体" w:hAnsi="宋体"/>
          <w:bCs/>
          <w:sz w:val="28"/>
          <w:szCs w:val="28"/>
        </w:rPr>
        <w:t>1、检查安全用具的完整性，如发现部件或零件缺损等，则应配齐后再进行试验。</w:t>
      </w:r>
    </w:p>
    <w:p>
      <w:pPr>
        <w:ind w:firstLine="420" w:firstLineChars="150"/>
        <w:rPr>
          <w:rFonts w:ascii="宋体" w:hAnsi="宋体"/>
          <w:bCs/>
          <w:sz w:val="28"/>
          <w:szCs w:val="28"/>
        </w:rPr>
      </w:pPr>
      <w:r>
        <w:rPr>
          <w:rFonts w:hint="eastAsia" w:ascii="宋体" w:hAnsi="宋体"/>
          <w:bCs/>
          <w:sz w:val="28"/>
          <w:szCs w:val="28"/>
        </w:rPr>
        <w:t>2、检查安全用具的表面状态，如发现有裂痕，飞弧痕迹，穿孔，烧焦以及绝缘劣化，受潮等缺陷时，应根据轻重程度和所在部位的重要性，分别进行绝缘的加强，修补或干燥处理，并经试验合格为止。</w:t>
      </w:r>
    </w:p>
    <w:p>
      <w:pPr>
        <w:ind w:firstLine="420" w:firstLineChars="150"/>
        <w:rPr>
          <w:rFonts w:ascii="宋体" w:hAnsi="宋体"/>
          <w:bCs/>
          <w:sz w:val="28"/>
          <w:szCs w:val="28"/>
        </w:rPr>
      </w:pPr>
      <w:r>
        <w:rPr>
          <w:rFonts w:hint="eastAsia" w:ascii="宋体" w:hAnsi="宋体"/>
          <w:bCs/>
          <w:sz w:val="28"/>
          <w:szCs w:val="28"/>
        </w:rPr>
        <w:t>3、检查安全用具是否安装牢固，可靠，若因机械强度影响作业的安全时，应在处理后再使用。当某些用具具有特殊机械强度时，则应做有关的机械试验。</w:t>
      </w:r>
    </w:p>
    <w:p>
      <w:pPr>
        <w:ind w:firstLine="560" w:firstLineChars="200"/>
        <w:rPr>
          <w:rFonts w:ascii="宋体" w:hAnsi="宋体"/>
          <w:bCs/>
          <w:sz w:val="28"/>
          <w:szCs w:val="28"/>
        </w:rPr>
      </w:pPr>
      <w:r>
        <w:rPr>
          <w:rFonts w:hint="eastAsia" w:ascii="宋体" w:hAnsi="宋体"/>
          <w:bCs/>
          <w:sz w:val="28"/>
          <w:szCs w:val="28"/>
        </w:rPr>
        <w:t>注：绝缘安全用具对其进行耐压试验前后还应测量其绝缘电阻。对于橡胶一类材料所研制的绝缘安全用具（如胶靴，胶鞋，胶手套等），还应测量交流泄漏电流。对于验电器一类的安全用具，还应进行清晰发光电压的检查。</w:t>
      </w:r>
    </w:p>
    <w:p>
      <w:pPr>
        <w:tabs>
          <w:tab w:val="left" w:pos="1260"/>
          <w:tab w:val="left" w:pos="5940"/>
        </w:tabs>
        <w:spacing w:line="360" w:lineRule="auto"/>
        <w:rPr>
          <w:rFonts w:ascii="宋体" w:hAnsi="宋体"/>
          <w:bCs/>
          <w:sz w:val="28"/>
          <w:szCs w:val="28"/>
        </w:rPr>
      </w:pPr>
      <w:r>
        <w:rPr>
          <w:rFonts w:hint="eastAsia" w:ascii="宋体" w:hAnsi="宋体"/>
          <w:bCs/>
          <w:sz w:val="28"/>
          <w:szCs w:val="28"/>
        </w:rPr>
        <w:t>七、试验操作注意事项</w:t>
      </w:r>
    </w:p>
    <w:p>
      <w:pPr>
        <w:tabs>
          <w:tab w:val="left" w:pos="1260"/>
          <w:tab w:val="left" w:pos="5940"/>
        </w:tabs>
        <w:spacing w:line="360" w:lineRule="auto"/>
        <w:ind w:firstLine="560" w:firstLineChars="200"/>
        <w:rPr>
          <w:rFonts w:ascii="宋体" w:hAnsi="宋体"/>
          <w:bCs/>
          <w:sz w:val="28"/>
          <w:szCs w:val="28"/>
        </w:rPr>
      </w:pPr>
      <w:r>
        <w:rPr>
          <w:rFonts w:hint="eastAsia" w:ascii="宋体" w:hAnsi="宋体"/>
          <w:bCs/>
          <w:sz w:val="28"/>
          <w:szCs w:val="28"/>
        </w:rPr>
        <w:t>1、试验操作过程中应精神集中，随时注意异常情况，操作人员应穿绝缘靴或站在绝缘垫上。</w:t>
      </w:r>
    </w:p>
    <w:p>
      <w:pPr>
        <w:tabs>
          <w:tab w:val="left" w:pos="1260"/>
          <w:tab w:val="left" w:pos="5940"/>
        </w:tabs>
        <w:spacing w:line="360" w:lineRule="auto"/>
        <w:ind w:firstLine="560" w:firstLineChars="200"/>
        <w:rPr>
          <w:rFonts w:ascii="宋体" w:hAnsi="宋体"/>
          <w:bCs/>
          <w:sz w:val="28"/>
          <w:szCs w:val="28"/>
        </w:rPr>
      </w:pPr>
      <w:r>
        <w:rPr>
          <w:rFonts w:hint="eastAsia" w:ascii="宋体" w:hAnsi="宋体"/>
          <w:bCs/>
          <w:sz w:val="28"/>
          <w:szCs w:val="28"/>
        </w:rPr>
        <w:t>2、试验设备的接地线、接地极应保持接触良好，接地电阻符合要求。</w:t>
      </w:r>
    </w:p>
    <w:p>
      <w:pPr>
        <w:tabs>
          <w:tab w:val="left" w:pos="1260"/>
          <w:tab w:val="left" w:pos="5940"/>
        </w:tabs>
        <w:spacing w:line="360" w:lineRule="auto"/>
        <w:ind w:firstLine="560" w:firstLineChars="200"/>
        <w:rPr>
          <w:rFonts w:ascii="宋体" w:hAnsi="宋体"/>
          <w:bCs/>
          <w:sz w:val="28"/>
          <w:szCs w:val="28"/>
        </w:rPr>
      </w:pPr>
      <w:r>
        <w:rPr>
          <w:rFonts w:hint="eastAsia" w:ascii="宋体" w:hAnsi="宋体"/>
          <w:bCs/>
          <w:sz w:val="28"/>
          <w:szCs w:val="28"/>
        </w:rPr>
        <w:t>3、严禁采用变压器中性线做试验用接地线。</w:t>
      </w:r>
    </w:p>
    <w:p>
      <w:pPr>
        <w:tabs>
          <w:tab w:val="left" w:pos="1260"/>
          <w:tab w:val="left" w:pos="5940"/>
        </w:tabs>
        <w:spacing w:line="360" w:lineRule="auto"/>
        <w:ind w:firstLine="560" w:firstLineChars="200"/>
        <w:rPr>
          <w:rFonts w:ascii="宋体" w:hAnsi="宋体"/>
          <w:bCs/>
          <w:sz w:val="28"/>
          <w:szCs w:val="28"/>
        </w:rPr>
      </w:pPr>
      <w:r>
        <w:rPr>
          <w:rFonts w:hint="eastAsia" w:ascii="宋体" w:hAnsi="宋体"/>
          <w:bCs/>
          <w:sz w:val="28"/>
          <w:szCs w:val="28"/>
        </w:rPr>
        <w:t>4、试验用导体截面：在电压回路或不大于5A的电流回路中，应使用截面不小于1.5mm</w:t>
      </w:r>
      <w:r>
        <w:rPr>
          <w:rFonts w:hint="eastAsia" w:ascii="宋体" w:hAnsi="宋体"/>
          <w:bCs/>
          <w:sz w:val="28"/>
          <w:szCs w:val="28"/>
          <w:vertAlign w:val="superscript"/>
        </w:rPr>
        <w:t>2</w:t>
      </w:r>
      <w:r>
        <w:rPr>
          <w:rFonts w:hint="eastAsia" w:ascii="宋体" w:hAnsi="宋体"/>
          <w:bCs/>
          <w:sz w:val="28"/>
          <w:szCs w:val="28"/>
        </w:rPr>
        <w:t>的绝缘软线，其绝缘电阻应符合要求，并有足够的机械强度。高压引线周围要加装护栏，防止触碰危险。</w:t>
      </w:r>
    </w:p>
    <w:p>
      <w:pPr>
        <w:tabs>
          <w:tab w:val="left" w:pos="1260"/>
          <w:tab w:val="left" w:pos="5940"/>
        </w:tabs>
        <w:spacing w:line="360" w:lineRule="auto"/>
        <w:ind w:firstLine="560" w:firstLineChars="200"/>
        <w:rPr>
          <w:rFonts w:ascii="宋体" w:hAnsi="宋体"/>
          <w:bCs/>
          <w:sz w:val="28"/>
          <w:szCs w:val="28"/>
        </w:rPr>
      </w:pPr>
      <w:r>
        <w:rPr>
          <w:rFonts w:hint="eastAsia" w:ascii="宋体" w:hAnsi="宋体"/>
          <w:bCs/>
          <w:sz w:val="28"/>
          <w:szCs w:val="28"/>
        </w:rPr>
        <w:t>5、在做高压电气试验时，加压前必须通知有关人员离开被试设备至安全距离或退出现场后，方可加压；对有人工作的邻近设备有感应电压时，必须采取预防措施，以保证安全。</w:t>
      </w:r>
    </w:p>
    <w:p>
      <w:pPr>
        <w:tabs>
          <w:tab w:val="left" w:pos="1260"/>
          <w:tab w:val="left" w:pos="5940"/>
        </w:tabs>
        <w:spacing w:line="360" w:lineRule="auto"/>
        <w:ind w:firstLine="560" w:firstLineChars="200"/>
        <w:rPr>
          <w:rFonts w:ascii="宋体" w:hAnsi="宋体"/>
          <w:bCs/>
          <w:sz w:val="28"/>
          <w:szCs w:val="28"/>
        </w:rPr>
      </w:pPr>
      <w:r>
        <w:rPr>
          <w:rFonts w:hint="eastAsia" w:ascii="宋体" w:hAnsi="宋体"/>
          <w:bCs/>
          <w:sz w:val="28"/>
          <w:szCs w:val="28"/>
        </w:rPr>
        <w:t>6、高压试验时，被试物非试验侧均应接地，在换相时必须切断电源。</w:t>
      </w:r>
    </w:p>
    <w:p>
      <w:pPr>
        <w:tabs>
          <w:tab w:val="left" w:pos="1260"/>
          <w:tab w:val="left" w:pos="5940"/>
        </w:tabs>
        <w:spacing w:line="360" w:lineRule="auto"/>
        <w:ind w:firstLine="560" w:firstLineChars="200"/>
        <w:rPr>
          <w:rFonts w:ascii="宋体" w:hAnsi="宋体"/>
          <w:bCs/>
          <w:sz w:val="28"/>
          <w:szCs w:val="28"/>
        </w:rPr>
      </w:pPr>
      <w:r>
        <w:rPr>
          <w:rFonts w:hint="eastAsia" w:ascii="宋体" w:hAnsi="宋体"/>
          <w:bCs/>
          <w:sz w:val="28"/>
          <w:szCs w:val="28"/>
        </w:rPr>
        <w:t>7、试验后发现设备缺陷，作出预防性鉴定，提交相关记录和处理意见，确保设备安全运行。</w:t>
      </w:r>
    </w:p>
    <w:p>
      <w:pPr>
        <w:tabs>
          <w:tab w:val="left" w:pos="1260"/>
          <w:tab w:val="left" w:pos="5940"/>
        </w:tabs>
        <w:spacing w:line="360" w:lineRule="auto"/>
        <w:ind w:firstLine="420" w:firstLineChars="150"/>
        <w:rPr>
          <w:rFonts w:ascii="宋体" w:hAnsi="宋体"/>
          <w:bCs/>
          <w:sz w:val="28"/>
          <w:szCs w:val="28"/>
        </w:rPr>
      </w:pPr>
      <w:r>
        <w:rPr>
          <w:rFonts w:hint="eastAsia" w:ascii="宋体" w:hAnsi="宋体"/>
          <w:bCs/>
          <w:sz w:val="28"/>
          <w:szCs w:val="28"/>
        </w:rPr>
        <w:t xml:space="preserve"> 8、试验时如发现用户正常使用出现的设备出现故障和缺陷，要及时帮助甲方处理。</w:t>
      </w:r>
    </w:p>
    <w:p>
      <w:pPr>
        <w:tabs>
          <w:tab w:val="left" w:pos="1260"/>
          <w:tab w:val="left" w:pos="5940"/>
        </w:tabs>
        <w:spacing w:line="360" w:lineRule="auto"/>
        <w:ind w:firstLine="420" w:firstLineChars="150"/>
        <w:rPr>
          <w:rFonts w:ascii="宋体" w:hAnsi="宋体"/>
          <w:bCs/>
          <w:sz w:val="28"/>
          <w:szCs w:val="28"/>
        </w:rPr>
      </w:pPr>
      <w:r>
        <w:rPr>
          <w:rFonts w:hint="eastAsia" w:ascii="宋体" w:hAnsi="宋体"/>
          <w:bCs/>
          <w:sz w:val="28"/>
          <w:szCs w:val="28"/>
        </w:rPr>
        <w:t xml:space="preserve"> 9、带电试验应有根据现场情况制定的安全措施，特殊试验、研究性试验和在运行系统做试验时，必须有试验方案，并经有关技术负责人批准后，才能进行。</w:t>
      </w:r>
    </w:p>
    <w:p>
      <w:pPr>
        <w:tabs>
          <w:tab w:val="left" w:pos="1260"/>
          <w:tab w:val="left" w:pos="5940"/>
        </w:tabs>
        <w:spacing w:line="360" w:lineRule="auto"/>
        <w:ind w:firstLine="560" w:firstLineChars="200"/>
        <w:rPr>
          <w:rFonts w:ascii="宋体" w:hAnsi="宋体"/>
          <w:bCs/>
          <w:sz w:val="28"/>
          <w:szCs w:val="28"/>
        </w:rPr>
      </w:pPr>
      <w:r>
        <w:rPr>
          <w:rFonts w:hint="eastAsia" w:ascii="宋体" w:hAnsi="宋体"/>
          <w:bCs/>
          <w:sz w:val="28"/>
          <w:szCs w:val="28"/>
        </w:rPr>
        <w:t>10、试验人员必须具备高技术水平与现场试验经验，能熟练使用试验仪器。在试验过程中要按照先计算、后试验、再总结的原则进行。对试验结果应进行全面分析，掌握设备绝缘性能的变化趋势和规律，提高运行设备的健康水平。</w:t>
      </w:r>
    </w:p>
    <w:p>
      <w:pPr>
        <w:tabs>
          <w:tab w:val="left" w:pos="1260"/>
          <w:tab w:val="left" w:pos="5940"/>
        </w:tabs>
        <w:spacing w:line="360" w:lineRule="auto"/>
        <w:ind w:firstLine="560" w:firstLineChars="200"/>
        <w:rPr>
          <w:rFonts w:ascii="宋体" w:hAnsi="宋体"/>
          <w:bCs/>
          <w:sz w:val="28"/>
          <w:szCs w:val="28"/>
        </w:rPr>
      </w:pPr>
      <w:r>
        <w:rPr>
          <w:rFonts w:hint="eastAsia" w:ascii="宋体" w:hAnsi="宋体"/>
          <w:bCs/>
          <w:sz w:val="28"/>
          <w:szCs w:val="28"/>
        </w:rPr>
        <w:t>11、试验过程必须在甲方的参与下进行。试验的过程和结果必须详细记录，经各方签字后作为验收的文件之一。</w:t>
      </w:r>
    </w:p>
    <w:p>
      <w:pPr>
        <w:tabs>
          <w:tab w:val="left" w:pos="1260"/>
          <w:tab w:val="left" w:pos="5940"/>
        </w:tabs>
        <w:spacing w:line="360" w:lineRule="auto"/>
        <w:ind w:firstLine="560" w:firstLineChars="200"/>
        <w:rPr>
          <w:rFonts w:ascii="宋体" w:hAnsi="宋体"/>
          <w:bCs/>
          <w:sz w:val="28"/>
          <w:szCs w:val="28"/>
        </w:rPr>
      </w:pPr>
      <w:r>
        <w:rPr>
          <w:rFonts w:hint="eastAsia" w:ascii="宋体" w:hAnsi="宋体"/>
          <w:bCs/>
          <w:sz w:val="28"/>
          <w:szCs w:val="28"/>
        </w:rPr>
        <w:t>12、传动试验之后，试验方必须协同甲方一道检查并重新紧固所有主回路接线、二次回路接线，检查所有元部件包括综合保护单元、各个互感器、断路器、航空插头、各个继电器、高低压保险管、空气开关、电缆头是否正常。</w:t>
      </w:r>
    </w:p>
    <w:p>
      <w:pPr>
        <w:tabs>
          <w:tab w:val="left" w:pos="1260"/>
          <w:tab w:val="left" w:pos="5940"/>
        </w:tabs>
        <w:spacing w:line="360" w:lineRule="auto"/>
        <w:ind w:firstLine="560" w:firstLineChars="200"/>
        <w:rPr>
          <w:rFonts w:ascii="宋体" w:hAnsi="宋体"/>
          <w:bCs/>
          <w:sz w:val="28"/>
          <w:szCs w:val="28"/>
        </w:rPr>
      </w:pPr>
      <w:r>
        <w:rPr>
          <w:rFonts w:hint="eastAsia" w:ascii="宋体" w:hAnsi="宋体"/>
          <w:bCs/>
          <w:sz w:val="28"/>
          <w:szCs w:val="28"/>
        </w:rPr>
        <w:t>13、检验继电保护和仪表的工作人员，不准进行任何倒闸操作。</w:t>
      </w:r>
    </w:p>
    <w:p>
      <w:pPr>
        <w:tabs>
          <w:tab w:val="left" w:pos="1260"/>
          <w:tab w:val="left" w:pos="5940"/>
        </w:tabs>
        <w:spacing w:line="360" w:lineRule="auto"/>
        <w:ind w:firstLine="560" w:firstLineChars="200"/>
        <w:rPr>
          <w:rFonts w:ascii="宋体" w:hAnsi="宋体"/>
          <w:bCs/>
          <w:sz w:val="28"/>
          <w:szCs w:val="28"/>
        </w:rPr>
      </w:pPr>
      <w:r>
        <w:rPr>
          <w:rFonts w:hint="eastAsia" w:ascii="宋体" w:hAnsi="宋体"/>
          <w:bCs/>
          <w:sz w:val="28"/>
          <w:szCs w:val="28"/>
        </w:rPr>
        <w:t>14、试验工作结束后，试验负责人应认真核对试验项目，做好记录，当试验结果无误后，才能拆除试验接线，恢复设备原有接线。</w:t>
      </w:r>
    </w:p>
    <w:p>
      <w:pPr>
        <w:tabs>
          <w:tab w:val="left" w:pos="1260"/>
          <w:tab w:val="left" w:pos="5940"/>
        </w:tabs>
        <w:spacing w:line="360" w:lineRule="auto"/>
        <w:ind w:firstLine="560" w:firstLineChars="200"/>
        <w:rPr>
          <w:rFonts w:ascii="宋体" w:hAnsi="宋体"/>
          <w:bCs/>
          <w:sz w:val="28"/>
          <w:szCs w:val="28"/>
        </w:rPr>
      </w:pPr>
      <w:r>
        <w:rPr>
          <w:rFonts w:hint="eastAsia" w:ascii="宋体" w:hAnsi="宋体"/>
          <w:bCs/>
          <w:sz w:val="28"/>
          <w:szCs w:val="28"/>
        </w:rPr>
        <w:t>15、恢复试验前的线路状态，当需要对线路恢复送电时，应撤回线路上所有的工作人员，确认线路无人工作时，拆除有关警示牌，由值班人员按送电顺序送电。</w:t>
      </w:r>
    </w:p>
    <w:p>
      <w:pPr>
        <w:tabs>
          <w:tab w:val="left" w:pos="1260"/>
          <w:tab w:val="left" w:pos="5940"/>
        </w:tabs>
        <w:spacing w:line="360" w:lineRule="auto"/>
        <w:ind w:firstLine="560" w:firstLineChars="200"/>
        <w:rPr>
          <w:rFonts w:ascii="宋体" w:hAnsi="宋体"/>
          <w:bCs/>
          <w:sz w:val="24"/>
        </w:rPr>
      </w:pPr>
      <w:r>
        <w:rPr>
          <w:rFonts w:hint="eastAsia" w:ascii="宋体" w:hAnsi="宋体"/>
          <w:bCs/>
          <w:sz w:val="28"/>
          <w:szCs w:val="28"/>
        </w:rPr>
        <w:t>16清点试验工具、仪表、材料，清扫工作</w:t>
      </w:r>
      <w:r>
        <w:rPr>
          <w:rFonts w:hint="eastAsia" w:ascii="宋体" w:hAnsi="宋体"/>
          <w:bCs/>
          <w:sz w:val="24"/>
        </w:rPr>
        <w:t>环境卫生，方可离开工作场所。</w:t>
      </w:r>
    </w:p>
    <w:sectPr>
      <w:headerReference r:id="rId3" w:type="default"/>
      <w:footerReference r:id="rId4" w:type="default"/>
      <w:footerReference r:id="rId5" w:type="even"/>
      <w:pgSz w:w="11906" w:h="16838"/>
      <w:pgMar w:top="1361" w:right="1361" w:bottom="1191"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ADC1AFC"/>
    <w:multiLevelType w:val="multilevel"/>
    <w:tmpl w:val="4ADC1AFC"/>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mQyZWUyYjdlMDg5OGQ2ZWU2NWFiYzU1NDZjZTNhMjAifQ=="/>
  </w:docVars>
  <w:rsids>
    <w:rsidRoot w:val="00CC7F33"/>
    <w:rsid w:val="000463F6"/>
    <w:rsid w:val="00070B1D"/>
    <w:rsid w:val="00092896"/>
    <w:rsid w:val="000945D0"/>
    <w:rsid w:val="000D6525"/>
    <w:rsid w:val="000D6F48"/>
    <w:rsid w:val="000E6DCD"/>
    <w:rsid w:val="000F069D"/>
    <w:rsid w:val="000F5A0A"/>
    <w:rsid w:val="000F76FC"/>
    <w:rsid w:val="00104C78"/>
    <w:rsid w:val="00107D4D"/>
    <w:rsid w:val="001209C2"/>
    <w:rsid w:val="001244ED"/>
    <w:rsid w:val="00126133"/>
    <w:rsid w:val="0014473E"/>
    <w:rsid w:val="0015554D"/>
    <w:rsid w:val="0016350A"/>
    <w:rsid w:val="00164E44"/>
    <w:rsid w:val="00165DE2"/>
    <w:rsid w:val="00170DD9"/>
    <w:rsid w:val="001872E2"/>
    <w:rsid w:val="001A2A96"/>
    <w:rsid w:val="001A663D"/>
    <w:rsid w:val="001B139A"/>
    <w:rsid w:val="001B2E15"/>
    <w:rsid w:val="001B59D6"/>
    <w:rsid w:val="001C47C6"/>
    <w:rsid w:val="001C5AC8"/>
    <w:rsid w:val="001D6C18"/>
    <w:rsid w:val="00213B17"/>
    <w:rsid w:val="002168D1"/>
    <w:rsid w:val="002248B6"/>
    <w:rsid w:val="00250147"/>
    <w:rsid w:val="00275453"/>
    <w:rsid w:val="0028218B"/>
    <w:rsid w:val="0028414A"/>
    <w:rsid w:val="002873A5"/>
    <w:rsid w:val="002B0186"/>
    <w:rsid w:val="002B2C45"/>
    <w:rsid w:val="002C0888"/>
    <w:rsid w:val="002C158A"/>
    <w:rsid w:val="002D47FF"/>
    <w:rsid w:val="002E707E"/>
    <w:rsid w:val="002F2205"/>
    <w:rsid w:val="002F3D4D"/>
    <w:rsid w:val="002F6DED"/>
    <w:rsid w:val="00305FE6"/>
    <w:rsid w:val="003072E8"/>
    <w:rsid w:val="0032066A"/>
    <w:rsid w:val="0033137C"/>
    <w:rsid w:val="003407A1"/>
    <w:rsid w:val="00362A85"/>
    <w:rsid w:val="003633C5"/>
    <w:rsid w:val="00372808"/>
    <w:rsid w:val="00374DA9"/>
    <w:rsid w:val="00375C91"/>
    <w:rsid w:val="0038222C"/>
    <w:rsid w:val="00386CD8"/>
    <w:rsid w:val="0038777B"/>
    <w:rsid w:val="0039017B"/>
    <w:rsid w:val="003903B3"/>
    <w:rsid w:val="003A5999"/>
    <w:rsid w:val="003B23B9"/>
    <w:rsid w:val="003B5DEB"/>
    <w:rsid w:val="003C657F"/>
    <w:rsid w:val="003D4750"/>
    <w:rsid w:val="003E2A2A"/>
    <w:rsid w:val="00401EDD"/>
    <w:rsid w:val="00405B5E"/>
    <w:rsid w:val="00413408"/>
    <w:rsid w:val="00417A04"/>
    <w:rsid w:val="0042538A"/>
    <w:rsid w:val="0043645E"/>
    <w:rsid w:val="00436D16"/>
    <w:rsid w:val="00437F8D"/>
    <w:rsid w:val="004438B1"/>
    <w:rsid w:val="0044503A"/>
    <w:rsid w:val="004565CA"/>
    <w:rsid w:val="00457CF0"/>
    <w:rsid w:val="0046463D"/>
    <w:rsid w:val="0046471C"/>
    <w:rsid w:val="0046683B"/>
    <w:rsid w:val="00466ABA"/>
    <w:rsid w:val="004775F5"/>
    <w:rsid w:val="004A2F4A"/>
    <w:rsid w:val="004E1427"/>
    <w:rsid w:val="004E79E7"/>
    <w:rsid w:val="004F31A6"/>
    <w:rsid w:val="004F5656"/>
    <w:rsid w:val="00520A5E"/>
    <w:rsid w:val="0052323E"/>
    <w:rsid w:val="0052797C"/>
    <w:rsid w:val="00534B48"/>
    <w:rsid w:val="0053683A"/>
    <w:rsid w:val="00563668"/>
    <w:rsid w:val="00573FA7"/>
    <w:rsid w:val="00583917"/>
    <w:rsid w:val="00596CCE"/>
    <w:rsid w:val="0059707A"/>
    <w:rsid w:val="005A0D2C"/>
    <w:rsid w:val="005A5847"/>
    <w:rsid w:val="005A7F1C"/>
    <w:rsid w:val="005C1266"/>
    <w:rsid w:val="005C2096"/>
    <w:rsid w:val="005D3B8E"/>
    <w:rsid w:val="005D4F19"/>
    <w:rsid w:val="005F4D93"/>
    <w:rsid w:val="005F7640"/>
    <w:rsid w:val="00600484"/>
    <w:rsid w:val="00605D85"/>
    <w:rsid w:val="00606BBA"/>
    <w:rsid w:val="0061190B"/>
    <w:rsid w:val="006170C3"/>
    <w:rsid w:val="00622D4D"/>
    <w:rsid w:val="00626317"/>
    <w:rsid w:val="006533AA"/>
    <w:rsid w:val="00655D35"/>
    <w:rsid w:val="006601FD"/>
    <w:rsid w:val="00660928"/>
    <w:rsid w:val="00665669"/>
    <w:rsid w:val="00671E93"/>
    <w:rsid w:val="00675DF5"/>
    <w:rsid w:val="00683D1F"/>
    <w:rsid w:val="006B2408"/>
    <w:rsid w:val="006B284B"/>
    <w:rsid w:val="006B7696"/>
    <w:rsid w:val="006C0AA0"/>
    <w:rsid w:val="006C0E6D"/>
    <w:rsid w:val="006D6F0D"/>
    <w:rsid w:val="006E53EA"/>
    <w:rsid w:val="006E71E1"/>
    <w:rsid w:val="006F1182"/>
    <w:rsid w:val="006F3798"/>
    <w:rsid w:val="0070752E"/>
    <w:rsid w:val="007249E2"/>
    <w:rsid w:val="00756D35"/>
    <w:rsid w:val="007648FF"/>
    <w:rsid w:val="0077601D"/>
    <w:rsid w:val="0078372A"/>
    <w:rsid w:val="00791716"/>
    <w:rsid w:val="00793B2E"/>
    <w:rsid w:val="00793D47"/>
    <w:rsid w:val="007A3A72"/>
    <w:rsid w:val="007B4706"/>
    <w:rsid w:val="007B5095"/>
    <w:rsid w:val="007B6051"/>
    <w:rsid w:val="007E6A4C"/>
    <w:rsid w:val="007F0C82"/>
    <w:rsid w:val="0081306F"/>
    <w:rsid w:val="00817454"/>
    <w:rsid w:val="00854619"/>
    <w:rsid w:val="00854BFE"/>
    <w:rsid w:val="008569F5"/>
    <w:rsid w:val="00857BCE"/>
    <w:rsid w:val="00866079"/>
    <w:rsid w:val="00870B17"/>
    <w:rsid w:val="00876704"/>
    <w:rsid w:val="008B48F3"/>
    <w:rsid w:val="008B59DC"/>
    <w:rsid w:val="008C11B2"/>
    <w:rsid w:val="008D2C4F"/>
    <w:rsid w:val="008E76CE"/>
    <w:rsid w:val="00913350"/>
    <w:rsid w:val="00920C89"/>
    <w:rsid w:val="00932E22"/>
    <w:rsid w:val="009353E0"/>
    <w:rsid w:val="009539C3"/>
    <w:rsid w:val="009560D1"/>
    <w:rsid w:val="009609AA"/>
    <w:rsid w:val="009822D5"/>
    <w:rsid w:val="0099104C"/>
    <w:rsid w:val="009928D5"/>
    <w:rsid w:val="00995AF0"/>
    <w:rsid w:val="00996D70"/>
    <w:rsid w:val="009A1CB1"/>
    <w:rsid w:val="009C3072"/>
    <w:rsid w:val="009D642A"/>
    <w:rsid w:val="009D6C3E"/>
    <w:rsid w:val="009D6E27"/>
    <w:rsid w:val="009E1306"/>
    <w:rsid w:val="009E2AC1"/>
    <w:rsid w:val="009F69EA"/>
    <w:rsid w:val="00A04292"/>
    <w:rsid w:val="00A12ABE"/>
    <w:rsid w:val="00A14788"/>
    <w:rsid w:val="00A15F86"/>
    <w:rsid w:val="00A21B29"/>
    <w:rsid w:val="00A41E37"/>
    <w:rsid w:val="00A57C88"/>
    <w:rsid w:val="00A60DCE"/>
    <w:rsid w:val="00A6217C"/>
    <w:rsid w:val="00A65CE2"/>
    <w:rsid w:val="00AA03D3"/>
    <w:rsid w:val="00AE2A4B"/>
    <w:rsid w:val="00AE617E"/>
    <w:rsid w:val="00AF08B4"/>
    <w:rsid w:val="00B07B61"/>
    <w:rsid w:val="00B113B1"/>
    <w:rsid w:val="00B146C6"/>
    <w:rsid w:val="00B21BF5"/>
    <w:rsid w:val="00B21EF7"/>
    <w:rsid w:val="00B31612"/>
    <w:rsid w:val="00B377C8"/>
    <w:rsid w:val="00B60C69"/>
    <w:rsid w:val="00B71F74"/>
    <w:rsid w:val="00B74088"/>
    <w:rsid w:val="00B93933"/>
    <w:rsid w:val="00B9600F"/>
    <w:rsid w:val="00BA3DFA"/>
    <w:rsid w:val="00BA61D2"/>
    <w:rsid w:val="00BB0C36"/>
    <w:rsid w:val="00BC3DFB"/>
    <w:rsid w:val="00BD4218"/>
    <w:rsid w:val="00BE5FEC"/>
    <w:rsid w:val="00C01D15"/>
    <w:rsid w:val="00C0587D"/>
    <w:rsid w:val="00C11A4C"/>
    <w:rsid w:val="00C1690F"/>
    <w:rsid w:val="00C22D04"/>
    <w:rsid w:val="00C24540"/>
    <w:rsid w:val="00C26F4C"/>
    <w:rsid w:val="00C41F32"/>
    <w:rsid w:val="00C670FB"/>
    <w:rsid w:val="00C7352D"/>
    <w:rsid w:val="00C911B7"/>
    <w:rsid w:val="00C92DE9"/>
    <w:rsid w:val="00CA6231"/>
    <w:rsid w:val="00CA64A4"/>
    <w:rsid w:val="00CB2B05"/>
    <w:rsid w:val="00CB6400"/>
    <w:rsid w:val="00CC17D5"/>
    <w:rsid w:val="00CC7F33"/>
    <w:rsid w:val="00CD0BF8"/>
    <w:rsid w:val="00CD5489"/>
    <w:rsid w:val="00CD5D3C"/>
    <w:rsid w:val="00CE5D63"/>
    <w:rsid w:val="00CE668C"/>
    <w:rsid w:val="00CF4281"/>
    <w:rsid w:val="00D04502"/>
    <w:rsid w:val="00D077D6"/>
    <w:rsid w:val="00D2195F"/>
    <w:rsid w:val="00D3508D"/>
    <w:rsid w:val="00D35B7B"/>
    <w:rsid w:val="00D424A2"/>
    <w:rsid w:val="00D42F4B"/>
    <w:rsid w:val="00D607B9"/>
    <w:rsid w:val="00D72D22"/>
    <w:rsid w:val="00D76935"/>
    <w:rsid w:val="00D8791D"/>
    <w:rsid w:val="00DC406F"/>
    <w:rsid w:val="00DC7DA0"/>
    <w:rsid w:val="00DD5E98"/>
    <w:rsid w:val="00DD6CC1"/>
    <w:rsid w:val="00DF27F2"/>
    <w:rsid w:val="00DF7E95"/>
    <w:rsid w:val="00E01C5A"/>
    <w:rsid w:val="00E05C8B"/>
    <w:rsid w:val="00E160F6"/>
    <w:rsid w:val="00E16F82"/>
    <w:rsid w:val="00E175BD"/>
    <w:rsid w:val="00E21FDD"/>
    <w:rsid w:val="00E22E75"/>
    <w:rsid w:val="00E34A55"/>
    <w:rsid w:val="00E41DA9"/>
    <w:rsid w:val="00E4379E"/>
    <w:rsid w:val="00E44EEB"/>
    <w:rsid w:val="00E56396"/>
    <w:rsid w:val="00E7630A"/>
    <w:rsid w:val="00E8397D"/>
    <w:rsid w:val="00E852E5"/>
    <w:rsid w:val="00EE410E"/>
    <w:rsid w:val="00EF3868"/>
    <w:rsid w:val="00EF78A1"/>
    <w:rsid w:val="00F0467A"/>
    <w:rsid w:val="00F06591"/>
    <w:rsid w:val="00F1767A"/>
    <w:rsid w:val="00F2475E"/>
    <w:rsid w:val="00F253AE"/>
    <w:rsid w:val="00F26E8A"/>
    <w:rsid w:val="00F46A8D"/>
    <w:rsid w:val="00F47387"/>
    <w:rsid w:val="00F535F7"/>
    <w:rsid w:val="00F61B4A"/>
    <w:rsid w:val="00F61C36"/>
    <w:rsid w:val="00F72B09"/>
    <w:rsid w:val="00F8718E"/>
    <w:rsid w:val="00FB4B3A"/>
    <w:rsid w:val="00FB72B5"/>
    <w:rsid w:val="00FC4313"/>
    <w:rsid w:val="00FC6DCD"/>
    <w:rsid w:val="00FD24BA"/>
    <w:rsid w:val="105C4CC1"/>
    <w:rsid w:val="13C74390"/>
    <w:rsid w:val="1B836BB7"/>
    <w:rsid w:val="24866B5D"/>
    <w:rsid w:val="37F74177"/>
    <w:rsid w:val="3FF72B74"/>
    <w:rsid w:val="3FFF1C04"/>
    <w:rsid w:val="52932EB0"/>
    <w:rsid w:val="532374C3"/>
    <w:rsid w:val="5AF859BD"/>
    <w:rsid w:val="5CE60DF9"/>
    <w:rsid w:val="6553757A"/>
    <w:rsid w:val="7F795CA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keepNext/>
      <w:keepLines/>
      <w:spacing w:before="260" w:after="260" w:line="413" w:lineRule="auto"/>
      <w:outlineLvl w:val="2"/>
    </w:pPr>
    <w:rPr>
      <w:b/>
      <w:sz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0"/>
    <w:pPr>
      <w:snapToGrid w:val="0"/>
      <w:spacing w:line="288" w:lineRule="auto"/>
      <w:ind w:left="1975" w:leftChars="20" w:hanging="1933" w:hangingChars="537"/>
    </w:pPr>
    <w:rPr>
      <w:rFonts w:eastAsia="黑体"/>
      <w:sz w:val="36"/>
    </w:rPr>
  </w:style>
  <w:style w:type="paragraph" w:styleId="4">
    <w:name w:val="Balloon Text"/>
    <w:basedOn w:val="1"/>
    <w:link w:val="16"/>
    <w:qFormat/>
    <w:uiPriority w:val="0"/>
    <w:rPr>
      <w:sz w:val="18"/>
      <w:szCs w:val="18"/>
    </w:rPr>
  </w:style>
  <w:style w:type="paragraph" w:styleId="5">
    <w:name w:val="footer"/>
    <w:basedOn w:val="1"/>
    <w:link w:val="17"/>
    <w:qFormat/>
    <w:uiPriority w:val="99"/>
    <w:pPr>
      <w:tabs>
        <w:tab w:val="center" w:pos="4153"/>
        <w:tab w:val="right" w:pos="8306"/>
      </w:tabs>
      <w:snapToGrid w:val="0"/>
      <w:jc w:val="left"/>
    </w:pPr>
    <w:rPr>
      <w:sz w:val="18"/>
      <w:szCs w:val="20"/>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Subtitle"/>
    <w:basedOn w:val="1"/>
    <w:next w:val="1"/>
    <w:link w:val="19"/>
    <w:qFormat/>
    <w:uiPriority w:val="0"/>
    <w:pPr>
      <w:spacing w:before="240" w:after="60" w:line="312" w:lineRule="auto"/>
      <w:jc w:val="center"/>
      <w:outlineLvl w:val="1"/>
    </w:pPr>
    <w:rPr>
      <w:rFonts w:asciiTheme="majorHAnsi" w:hAnsiTheme="majorHAnsi" w:cstheme="majorBidi"/>
      <w:b/>
      <w:bCs/>
      <w:kern w:val="28"/>
      <w:sz w:val="32"/>
      <w:szCs w:val="32"/>
    </w:rPr>
  </w:style>
  <w:style w:type="paragraph" w:styleId="8">
    <w:name w:val="HTML Preformatted"/>
    <w:basedOn w:val="1"/>
    <w:link w:val="15"/>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9">
    <w:name w:val="Normal (Web)"/>
    <w:qFormat/>
    <w:uiPriority w:val="99"/>
    <w:pPr>
      <w:spacing w:before="100" w:beforeAutospacing="1" w:after="100" w:afterAutospacing="1"/>
    </w:pPr>
    <w:rPr>
      <w:rFonts w:ascii="宋体" w:hAnsi="宋体" w:eastAsia="宋体" w:cs="宋体"/>
      <w:sz w:val="24"/>
      <w:lang w:val="en-US" w:eastAsia="zh-CN" w:bidi="ar-SA"/>
    </w:rPr>
  </w:style>
  <w:style w:type="paragraph" w:styleId="10">
    <w:name w:val="Title"/>
    <w:basedOn w:val="1"/>
    <w:next w:val="1"/>
    <w:link w:val="18"/>
    <w:qFormat/>
    <w:uiPriority w:val="0"/>
    <w:pPr>
      <w:spacing w:before="240" w:after="60"/>
      <w:jc w:val="center"/>
      <w:outlineLvl w:val="0"/>
    </w:pPr>
    <w:rPr>
      <w:rFonts w:ascii="Cambria" w:hAnsi="Cambria"/>
      <w:b/>
      <w:bCs/>
      <w:sz w:val="32"/>
      <w:szCs w:val="32"/>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page number"/>
    <w:basedOn w:val="13"/>
    <w:qFormat/>
    <w:uiPriority w:val="0"/>
  </w:style>
  <w:style w:type="character" w:customStyle="1" w:styleId="15">
    <w:name w:val="HTML 预设格式 Char"/>
    <w:link w:val="8"/>
    <w:qFormat/>
    <w:uiPriority w:val="0"/>
    <w:rPr>
      <w:rFonts w:ascii="宋体" w:hAnsi="宋体" w:eastAsia="宋体" w:cs="宋体"/>
      <w:sz w:val="24"/>
      <w:szCs w:val="24"/>
      <w:lang w:val="en-US" w:eastAsia="zh-CN" w:bidi="ar-SA"/>
    </w:rPr>
  </w:style>
  <w:style w:type="character" w:customStyle="1" w:styleId="16">
    <w:name w:val="批注框文本 Char"/>
    <w:basedOn w:val="13"/>
    <w:link w:val="4"/>
    <w:qFormat/>
    <w:uiPriority w:val="0"/>
    <w:rPr>
      <w:kern w:val="2"/>
      <w:sz w:val="18"/>
      <w:szCs w:val="18"/>
    </w:rPr>
  </w:style>
  <w:style w:type="character" w:customStyle="1" w:styleId="17">
    <w:name w:val="页脚 Char"/>
    <w:basedOn w:val="13"/>
    <w:link w:val="5"/>
    <w:qFormat/>
    <w:uiPriority w:val="99"/>
    <w:rPr>
      <w:kern w:val="2"/>
      <w:sz w:val="18"/>
    </w:rPr>
  </w:style>
  <w:style w:type="character" w:customStyle="1" w:styleId="18">
    <w:name w:val="标题 Char"/>
    <w:basedOn w:val="13"/>
    <w:link w:val="10"/>
    <w:qFormat/>
    <w:uiPriority w:val="0"/>
    <w:rPr>
      <w:rFonts w:ascii="Cambria" w:hAnsi="Cambria" w:cs="Times New Roman"/>
      <w:b/>
      <w:bCs/>
      <w:kern w:val="2"/>
      <w:sz w:val="32"/>
      <w:szCs w:val="32"/>
    </w:rPr>
  </w:style>
  <w:style w:type="character" w:customStyle="1" w:styleId="19">
    <w:name w:val="副标题 Char"/>
    <w:basedOn w:val="13"/>
    <w:link w:val="7"/>
    <w:qFormat/>
    <w:uiPriority w:val="0"/>
    <w:rPr>
      <w:rFonts w:asciiTheme="majorHAnsi" w:hAnsiTheme="majorHAnsi" w:cstheme="majorBidi"/>
      <w:b/>
      <w:bCs/>
      <w:kern w:val="28"/>
      <w:sz w:val="32"/>
      <w:szCs w:val="32"/>
    </w:rPr>
  </w:style>
  <w:style w:type="character" w:customStyle="1" w:styleId="20">
    <w:name w:val="ql-bold-700"/>
    <w:basedOn w:val="13"/>
    <w:qFormat/>
    <w:uiPriority w:val="0"/>
  </w:style>
  <w:style w:type="paragraph" w:styleId="2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15</Pages>
  <Words>6775</Words>
  <Characters>7270</Characters>
  <Lines>60</Lines>
  <Paragraphs>17</Paragraphs>
  <TotalTime>1</TotalTime>
  <ScaleCrop>false</ScaleCrop>
  <LinksUpToDate>false</LinksUpToDate>
  <CharactersWithSpaces>7579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2022-04-21T07:53:00Z</dcterms:created>
  <dc:creator>Administrator</dc:creator>
  <cp:lastModifiedBy>YouwGeng</cp:lastModifiedBy>
  <cp:lastPrinted>2022-04-22T02:18:00Z</cp:lastPrinted>
  <dcterms:modified xsi:type="dcterms:W3CDTF">2022-09-28T03:51:41Z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commondata">
    <vt:lpwstr>eyJoZGlkIjoiYTM2ZTVkYWQxMjMxZWMzOGQ5YWIxYTZhOThlOWMyNDgifQ==</vt:lpwstr>
  </property>
  <property fmtid="{D5CDD505-2E9C-101B-9397-08002B2CF9AE}" pid="4" name="ICV">
    <vt:lpwstr>2701A65DB05E4EE19ADB40835DE40F84</vt:lpwstr>
  </property>
</Properties>
</file>