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附件1</w:t>
      </w:r>
    </w:p>
    <w:p>
      <w:pPr>
        <w:spacing w:line="500" w:lineRule="exact"/>
        <w:ind w:firstLine="723" w:firstLineChars="200"/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ind w:firstLine="883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比选申请书</w:t>
      </w:r>
    </w:p>
    <w:p>
      <w:pPr>
        <w:spacing w:line="500" w:lineRule="exact"/>
        <w:ind w:firstLine="643" w:firstLineChars="200"/>
        <w:jc w:val="center"/>
        <w:rPr>
          <w:rFonts w:hint="default" w:ascii="宋体" w:hAnsi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u w:val="single"/>
          <w:lang w:val="en-US" w:eastAsia="zh-CN" w:bidi="ar-SA"/>
        </w:rPr>
        <w:t>致：三明城发物业有限公司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经研究并充分理解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u w:val="single"/>
          <w:lang w:val="en-US" w:eastAsia="zh-CN" w:bidi="ar-SA"/>
        </w:rPr>
        <w:t>市会议中心大厅LED屏维修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比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u w:val="none"/>
          <w:lang w:val="en-US" w:eastAsia="zh-CN" w:bidi="ar-SA"/>
        </w:rPr>
        <w:t>选书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的各项条款及要求后，我公司对你单位的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u w:val="single"/>
          <w:lang w:val="en-US" w:eastAsia="zh-CN" w:bidi="ar-SA"/>
        </w:rPr>
        <w:t>市会议中心大厅LED屏维修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比选提出申请。我方</w:t>
      </w:r>
      <w:r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在完全理解并严格遵守比选公告的各项规定和要求的前提下，自愿参加本次比选活动。如我单位中选，我单位承诺按比选文件要求签订合同，并将严格按照有关法律法规等相关政策开展工作。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比选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申请单位</w:t>
      </w:r>
      <w:r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（加盖公章）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200" w:firstLineChars="1500"/>
        <w:jc w:val="both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法定代表人：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cs="宋体"/>
          <w:sz w:val="28"/>
        </w:rPr>
      </w:pPr>
    </w:p>
    <w:p>
      <w:pPr>
        <w:jc w:val="left"/>
        <w:rPr>
          <w:rFonts w:hint="eastAsia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jc w:val="left"/>
        <w:rPr>
          <w:rFonts w:hint="eastAsia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jc w:val="left"/>
        <w:rPr>
          <w:rFonts w:hint="eastAsia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jc w:val="left"/>
        <w:rPr>
          <w:rFonts w:hint="eastAsia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jc w:val="left"/>
        <w:rPr>
          <w:rFonts w:hint="eastAsia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jc w:val="left"/>
        <w:rPr>
          <w:rFonts w:hint="eastAsia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jc w:val="left"/>
        <w:rPr>
          <w:rFonts w:hint="default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Calibri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报 价 函 </w:t>
      </w:r>
    </w:p>
    <w:p>
      <w:pPr>
        <w:pStyle w:val="10"/>
        <w:tabs>
          <w:tab w:val="left" w:pos="0"/>
          <w:tab w:val="left" w:pos="567"/>
          <w:tab w:val="left" w:pos="993"/>
          <w:tab w:val="left" w:pos="1134"/>
        </w:tabs>
        <w:snapToGrid w:val="0"/>
        <w:spacing w:line="300" w:lineRule="auto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tbl>
      <w:tblPr>
        <w:tblStyle w:val="6"/>
        <w:tblW w:w="97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81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Calibri" w:eastAsia="宋体" w:cs="宋体"/>
                <w:color w:val="auto"/>
                <w:sz w:val="24"/>
                <w:highlight w:val="none"/>
              </w:rPr>
              <w:t>项</w:t>
            </w:r>
            <w:r>
              <w:rPr>
                <w:rFonts w:hint="eastAsia" w:ascii="宋体" w:hAnsi="Calibri" w:eastAsia="宋体" w:cs="Times New Roman"/>
                <w:color w:val="auto"/>
                <w:sz w:val="24"/>
                <w:highlight w:val="none"/>
              </w:rPr>
              <w:t>目名称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市会议中心大厅LED屏维修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  <w:highlight w:val="none"/>
                <w:lang w:val="en-US" w:eastAsia="zh-CN"/>
              </w:rPr>
              <w:t>报价单位</w:t>
            </w:r>
            <w:r>
              <w:rPr>
                <w:rFonts w:hint="eastAsia" w:ascii="宋体" w:hAnsi="Calibri" w:eastAsia="宋体" w:cs="Times New Roman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763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FDFDFD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愿以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人民币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报价（含税）。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维修期限</w:t>
            </w:r>
          </w:p>
        </w:tc>
        <w:tc>
          <w:tcPr>
            <w:tcW w:w="763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  <w:highlight w:val="none"/>
                <w:lang w:val="en-US" w:eastAsia="zh-CN"/>
              </w:rPr>
              <w:t>以上费用含产品制造、运输、装卸、抽样检测、损耗、人工、售后服务、税收（提供增值税专用发票）。</w:t>
            </w:r>
          </w:p>
        </w:tc>
      </w:tr>
    </w:tbl>
    <w:p>
      <w:pPr>
        <w:spacing w:line="360" w:lineRule="auto"/>
        <w:ind w:firstLine="482" w:firstLineChars="200"/>
        <w:rPr>
          <w:rFonts w:hint="eastAsia" w:ascii="宋体" w:hAnsi="Calibri" w:eastAsia="宋体" w:cs="Times New Roman"/>
          <w:b/>
          <w:bCs/>
          <w:color w:val="auto"/>
          <w:sz w:val="24"/>
          <w:highlight w:val="none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Calibri" w:eastAsia="宋体" w:cs="Times New Roman"/>
          <w:color w:val="auto"/>
          <w:sz w:val="24"/>
          <w:highlight w:val="none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Calibri" w:eastAsia="宋体" w:cs="Times New Roman"/>
          <w:color w:val="auto"/>
          <w:sz w:val="24"/>
          <w:highlight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>报价单位（盖章）：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 xml:space="preserve">          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 xml:space="preserve">          电  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 w:bidi="ar-SA"/>
        </w:rPr>
        <w:t xml:space="preserve">          日  期：</w:t>
      </w:r>
    </w:p>
    <w:p>
      <w:pPr>
        <w:widowControl/>
        <w:jc w:val="left"/>
        <w:rPr>
          <w:rFonts w:ascii="Calibri" w:hAnsi="Calibri" w:eastAsia="宋体" w:cs="Times New Roman"/>
          <w:color w:val="auto"/>
          <w:sz w:val="28"/>
          <w:szCs w:val="28"/>
          <w:highlight w:val="none"/>
        </w:rPr>
      </w:pPr>
    </w:p>
    <w:p>
      <w:pPr>
        <w:spacing w:line="560" w:lineRule="exact"/>
        <w:rPr>
          <w:rFonts w:ascii="Calibri" w:hAnsi="Calibri" w:eastAsia="宋体" w:cs="Times New Roman"/>
          <w:color w:val="auto"/>
          <w:sz w:val="28"/>
          <w:szCs w:val="28"/>
          <w:highlight w:val="none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center"/>
        <w:rPr>
          <w:color w:val="auto"/>
          <w:highlight w:val="none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center"/>
        <w:rPr>
          <w:color w:val="auto"/>
          <w:highlight w:val="none"/>
        </w:rPr>
      </w:pPr>
    </w:p>
    <w:p>
      <w:pPr>
        <w:pStyle w:val="5"/>
        <w:spacing w:before="0" w:beforeAutospacing="0" w:after="0" w:afterAutospacing="0" w:line="480" w:lineRule="auto"/>
        <w:jc w:val="both"/>
        <w:rPr>
          <w:color w:val="auto"/>
          <w:highlight w:val="none"/>
        </w:rPr>
      </w:pPr>
    </w:p>
    <w:p>
      <w:pPr>
        <w:pStyle w:val="5"/>
        <w:spacing w:before="0" w:beforeAutospacing="0" w:after="0" w:afterAutospacing="0" w:line="480" w:lineRule="auto"/>
        <w:jc w:val="both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报价清单</w:t>
      </w:r>
    </w:p>
    <w:tbl>
      <w:tblPr>
        <w:tblStyle w:val="6"/>
        <w:tblpPr w:leftFromText="180" w:rightFromText="180" w:vertAnchor="text" w:horzAnchor="page" w:tblpX="625" w:tblpY="502"/>
        <w:tblOverlap w:val="never"/>
        <w:tblW w:w="11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05"/>
        <w:gridCol w:w="511"/>
        <w:gridCol w:w="840"/>
        <w:gridCol w:w="4965"/>
        <w:gridCol w:w="495"/>
        <w:gridCol w:w="510"/>
        <w:gridCol w:w="870"/>
        <w:gridCol w:w="899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同步控制系统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DS-D43QXC92定制版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大厅原LED屏同步控制系统改造升级。支持逐点亮色度校正，有效消除色差，显著提升 LED 画面显示的一致性，给用户带来更加细腻的画面。硬件设计和软件设计充分考虑用户部署、系统运行和维护时的场景，使部署更容易，运行更稳定、维护更高效。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1.集成 6 个标准 HUB320 接口，免接 HUB 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2.采用千兆网口，可以连接 PC 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支持逐点亮色度校正。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4.支持接收卡预存画面设置。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5.支持温度、电压、网线通讯和视频源信号状态检测。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6.与原屏控制系统兼容，同步屏参，并发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7.RGB色彩模组调试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处理器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DS-D43V02-ZK定制版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集成发送卡、视频处理、U盘播放功能于一体；支持连接控台设备。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支持屏体参数调整，前面板直观的LCD 显示界面，清晰的按键灯提示，简化了系统的控制操作。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支持扩展卡投屏，可投放手机或 Pad 画面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支持扩展子卡后，扩展子卡的播放源模式下，支持使用鼠标进行控制。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满足重大会议高压缩视频内容输出；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支持1路DVI/HDMI/VGA/CVBS输入，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支持2路网口输出；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支持画面全屏缩放、点对点显示、自定义缩放三种缩放模式；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支持窗口位置、大小调整及窗口截取功能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支持6个预设场景播控软件；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支持对接中控接口；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检修、维修屏模组，更换排线、跳线、同步控制系统安装调试、处理器安装调试,重新编码中控系统，中控系统SDK接口对接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259" w:lineRule="exact"/>
        <w:jc w:val="left"/>
        <w:rPr>
          <w:rFonts w:hint="default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项目名称：市会议中心大厅LED屏维修</w:t>
      </w:r>
    </w:p>
    <w:p>
      <w:pPr>
        <w:spacing w:line="360" w:lineRule="auto"/>
        <w:ind w:firstLine="480" w:firstLineChars="200"/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以上费用含产品制造、运输、装卸、抽样检测、损耗、人工、售后服务、税收（提供增值税专用发票）。</w:t>
      </w:r>
    </w:p>
    <w:p>
      <w:pPr>
        <w:spacing w:line="360" w:lineRule="auto"/>
        <w:ind w:firstLine="480" w:firstLineChars="200"/>
        <w:jc w:val="center"/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报价单位（盖章）：</w:t>
      </w:r>
    </w:p>
    <w:p>
      <w:pPr>
        <w:spacing w:line="360" w:lineRule="auto"/>
        <w:jc w:val="center"/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联系人：</w:t>
      </w:r>
    </w:p>
    <w:p>
      <w:pPr>
        <w:spacing w:line="360" w:lineRule="auto"/>
        <w:jc w:val="center"/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电  话：</w:t>
      </w:r>
    </w:p>
    <w:p>
      <w:pPr>
        <w:pStyle w:val="5"/>
        <w:spacing w:before="0" w:beforeAutospacing="0" w:after="0" w:afterAutospacing="0" w:line="480" w:lineRule="auto"/>
        <w:jc w:val="center"/>
        <w:rPr>
          <w:rFonts w:hint="default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Calibri" w:eastAsia="宋体" w:cs="Times New Roman"/>
          <w:color w:val="auto"/>
          <w:sz w:val="24"/>
          <w:highlight w:val="none"/>
          <w:lang w:val="en-US" w:eastAsia="zh-CN"/>
        </w:rPr>
        <w:t>日</w:t>
      </w:r>
      <w:r>
        <w:rPr>
          <w:rFonts w:hint="eastAsia" w:hAnsi="Calibri" w:cs="Times New Roman"/>
          <w:color w:val="auto"/>
          <w:sz w:val="24"/>
          <w:highlight w:val="none"/>
          <w:lang w:val="en-US" w:eastAsia="zh-CN"/>
        </w:rPr>
        <w:t xml:space="preserve">  期：</w:t>
      </w:r>
    </w:p>
    <w:sectPr>
      <w:footerReference r:id="rId3" w:type="default"/>
      <w:pgSz w:w="11906" w:h="16838"/>
      <w:pgMar w:top="567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9C542-8788-47F7-B564-AA2CAC74A6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C74F7D-B796-4BB2-855E-97A3FFFD99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ABEA093-77B9-43D0-A1BF-BFA0B96259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TA5YmMxNzZhMjAzYzQzODAyNjEzZTMwYmQwYWUifQ=="/>
  </w:docVars>
  <w:rsids>
    <w:rsidRoot w:val="19437EB6"/>
    <w:rsid w:val="130E2487"/>
    <w:rsid w:val="13ED1DDE"/>
    <w:rsid w:val="14445DAD"/>
    <w:rsid w:val="14BD421B"/>
    <w:rsid w:val="19437EB6"/>
    <w:rsid w:val="1D111EFF"/>
    <w:rsid w:val="1EE55FA1"/>
    <w:rsid w:val="27A30C20"/>
    <w:rsid w:val="30CE4081"/>
    <w:rsid w:val="4B61520A"/>
    <w:rsid w:val="521F680F"/>
    <w:rsid w:val="55E42029"/>
    <w:rsid w:val="7CF25884"/>
    <w:rsid w:val="7DC7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正文文本_2"/>
    <w:basedOn w:val="9"/>
    <w:qFormat/>
    <w:uiPriority w:val="0"/>
    <w:rPr>
      <w:sz w:val="20"/>
      <w:szCs w:val="21"/>
    </w:rPr>
  </w:style>
  <w:style w:type="paragraph" w:customStyle="1" w:styleId="9">
    <w:name w:val="正文_2"/>
    <w:qFormat/>
    <w:uiPriority w:val="0"/>
    <w:pPr>
      <w:widowControl w:val="0"/>
      <w:autoSpaceDE w:val="0"/>
      <w:autoSpaceDN w:val="0"/>
    </w:pPr>
    <w:rPr>
      <w:rFonts w:ascii="宋体" w:hAnsi="Times New Roman" w:eastAsia="宋体" w:cs="宋体"/>
      <w:sz w:val="22"/>
      <w:szCs w:val="22"/>
      <w:lang w:val="zh-CN" w:eastAsia="zh-CN" w:bidi="zh-CN"/>
    </w:rPr>
  </w:style>
  <w:style w:type="paragraph" w:customStyle="1" w:styleId="10">
    <w:name w:val="正文_1_0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2986</Words>
  <Characters>3149</Characters>
  <Lines>0</Lines>
  <Paragraphs>0</Paragraphs>
  <TotalTime>332</TotalTime>
  <ScaleCrop>false</ScaleCrop>
  <LinksUpToDate>false</LinksUpToDate>
  <CharactersWithSpaces>3544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2022-08-15T09:28:00Z</dcterms:created>
  <dc:creator>smile</dc:creator>
  <cp:lastModifiedBy>smile</cp:lastModifiedBy>
  <cp:lastPrinted>2022-10-31T08:58:49Z</cp:lastPrinted>
  <dcterms:modified xsi:type="dcterms:W3CDTF">2022-11-01T00:34:35Z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23193A709789456C99DA75319C0701B0</vt:lpwstr>
  </property>
</Properties>
</file>